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7E10" w:rsidRDefault="00072960">
      <w:pPr>
        <w:tabs>
          <w:tab w:val="left" w:pos="1701"/>
          <w:tab w:val="right" w:pos="9923"/>
        </w:tabs>
        <w:spacing w:before="120" w:line="240" w:lineRule="auto"/>
        <w:jc w:val="left"/>
        <w:rPr>
          <w:rFonts w:ascii="Arial" w:eastAsia="宋体" w:hAnsi="Arial"/>
          <w:b/>
          <w:sz w:val="24"/>
        </w:rPr>
      </w:pPr>
      <w:r>
        <w:rPr>
          <w:rFonts w:ascii="Arial" w:eastAsia="MS Mincho" w:hAnsi="Arial"/>
          <w:b/>
          <w:sz w:val="24"/>
          <w:lang w:val="en-GB" w:eastAsia="en-GB"/>
        </w:rPr>
        <w:t>3GPP TSG-RAN WG2 Meeting #11</w:t>
      </w:r>
      <w:r>
        <w:rPr>
          <w:rFonts w:ascii="Arial" w:eastAsia="宋体" w:hAnsi="Arial" w:hint="eastAsia"/>
          <w:b/>
          <w:sz w:val="24"/>
        </w:rPr>
        <w:t>1</w:t>
      </w:r>
      <w:r>
        <w:rPr>
          <w:rFonts w:ascii="Arial" w:eastAsia="MS Mincho" w:hAnsi="Arial"/>
          <w:b/>
          <w:sz w:val="24"/>
          <w:lang w:val="en-GB" w:eastAsia="en-GB"/>
        </w:rPr>
        <w:t xml:space="preserve"> electronic</w:t>
      </w:r>
      <w:r>
        <w:rPr>
          <w:rFonts w:ascii="Arial" w:eastAsia="MS Mincho" w:hAnsi="Arial"/>
          <w:b/>
          <w:sz w:val="24"/>
          <w:lang w:val="en-GB" w:eastAsia="en-GB"/>
        </w:rPr>
        <w:tab/>
        <w:t>R2-</w:t>
      </w:r>
      <w:r>
        <w:rPr>
          <w:rFonts w:ascii="Arial" w:eastAsia="MS Mincho" w:hAnsi="Arial"/>
          <w:b/>
          <w:sz w:val="24"/>
          <w:lang w:eastAsia="en-GB"/>
        </w:rPr>
        <w:t>2</w:t>
      </w:r>
      <w:r>
        <w:rPr>
          <w:rFonts w:ascii="Arial" w:eastAsia="宋体" w:hAnsi="Arial" w:hint="eastAsia"/>
          <w:b/>
          <w:sz w:val="24"/>
        </w:rPr>
        <w:t>006905</w:t>
      </w:r>
    </w:p>
    <w:p w:rsidR="00227E10" w:rsidRDefault="00072960">
      <w:pPr>
        <w:tabs>
          <w:tab w:val="left" w:pos="1701"/>
          <w:tab w:val="right" w:pos="9923"/>
        </w:tabs>
        <w:spacing w:before="120" w:line="240" w:lineRule="auto"/>
        <w:jc w:val="left"/>
        <w:rPr>
          <w:rFonts w:ascii="Arial" w:eastAsia="MS Mincho" w:hAnsi="Arial"/>
          <w:b/>
          <w:sz w:val="24"/>
          <w:lang w:val="en-GB" w:eastAsia="en-GB"/>
        </w:rPr>
      </w:pPr>
      <w:r>
        <w:rPr>
          <w:rFonts w:ascii="Arial" w:eastAsia="MS Mincho" w:hAnsi="Arial"/>
          <w:b/>
          <w:sz w:val="24"/>
          <w:lang w:val="de-DE"/>
        </w:rPr>
        <w:t>Online, August 17th - 28th, 2020</w:t>
      </w:r>
    </w:p>
    <w:p w:rsidR="00227E10" w:rsidRDefault="00227E10">
      <w:pPr>
        <w:overflowPunct w:val="0"/>
        <w:autoSpaceDE w:val="0"/>
        <w:autoSpaceDN w:val="0"/>
        <w:adjustRightInd w:val="0"/>
        <w:snapToGrid w:val="0"/>
        <w:spacing w:line="240" w:lineRule="auto"/>
        <w:jc w:val="left"/>
        <w:textAlignment w:val="baseline"/>
        <w:rPr>
          <w:rFonts w:ascii="Arial" w:hAnsi="Arial" w:cs="Arial"/>
          <w:b/>
          <w:bCs/>
          <w:kern w:val="0"/>
          <w:sz w:val="28"/>
          <w:szCs w:val="28"/>
        </w:rPr>
      </w:pPr>
    </w:p>
    <w:p w:rsidR="00227E10" w:rsidRDefault="0007296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227E10" w:rsidRDefault="00072960">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Introduction of eDRX for redcap</w:t>
      </w:r>
    </w:p>
    <w:p w:rsidR="00227E10" w:rsidRDefault="0007296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0" w:name="Source"/>
      <w:bookmarkEnd w:id="0"/>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eastAsia="ja-JP"/>
        </w:rPr>
        <w:t>8.12.3</w:t>
      </w:r>
    </w:p>
    <w:p w:rsidR="00227E10" w:rsidRDefault="0007296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227E10" w:rsidRDefault="0007296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t>Introduction</w:t>
      </w:r>
    </w:p>
    <w:p w:rsidR="00227E10" w:rsidRDefault="00072960">
      <w:pPr>
        <w:widowControl/>
        <w:overflowPunct w:val="0"/>
        <w:autoSpaceDE w:val="0"/>
        <w:autoSpaceDN w:val="0"/>
        <w:adjustRightInd w:val="0"/>
        <w:spacing w:beforeLines="50" w:before="156" w:after="120" w:line="240" w:lineRule="auto"/>
        <w:jc w:val="left"/>
        <w:textAlignment w:val="baseline"/>
        <w:rPr>
          <w:rFonts w:eastAsia="宋体"/>
          <w:kern w:val="0"/>
          <w:szCs w:val="21"/>
          <w:lang w:eastAsia="ja-JP"/>
        </w:rPr>
      </w:pPr>
      <w:r>
        <w:rPr>
          <w:rFonts w:eastAsia="宋体"/>
          <w:kern w:val="0"/>
          <w:szCs w:val="21"/>
          <w:lang w:eastAsia="ja-JP"/>
        </w:rPr>
        <w:t xml:space="preserve">In </w:t>
      </w:r>
      <w:r>
        <w:rPr>
          <w:rFonts w:eastAsia="宋体"/>
          <w:kern w:val="0"/>
          <w:szCs w:val="21"/>
        </w:rPr>
        <w:t xml:space="preserve">RAN #88e meeting¸ study item on support of </w:t>
      </w:r>
      <w:r>
        <w:rPr>
          <w:rFonts w:eastAsia="宋体" w:hint="eastAsia"/>
          <w:kern w:val="0"/>
          <w:szCs w:val="21"/>
        </w:rPr>
        <w:t>redcap UE</w:t>
      </w:r>
      <w:r>
        <w:rPr>
          <w:rFonts w:eastAsia="宋体"/>
          <w:kern w:val="0"/>
          <w:szCs w:val="21"/>
        </w:rPr>
        <w:t xml:space="preserve">s </w:t>
      </w:r>
      <w:r>
        <w:rPr>
          <w:rFonts w:eastAsia="宋体"/>
          <w:kern w:val="0"/>
          <w:szCs w:val="21"/>
          <w:vertAlign w:val="superscript"/>
        </w:rPr>
        <w:t>[1]</w:t>
      </w:r>
      <w:r>
        <w:rPr>
          <w:rFonts w:eastAsia="宋体"/>
          <w:kern w:val="0"/>
          <w:szCs w:val="21"/>
        </w:rPr>
        <w:t xml:space="preserve"> was revised. </w:t>
      </w:r>
      <w:r>
        <w:rPr>
          <w:rFonts w:eastAsia="宋体"/>
          <w:kern w:val="0"/>
          <w:szCs w:val="21"/>
          <w:lang w:eastAsia="ja-JP"/>
        </w:rPr>
        <w:t>As a baseline, the requirements for these three use cases are:</w:t>
      </w:r>
    </w:p>
    <w:p w:rsidR="00227E10" w:rsidRDefault="00072960">
      <w:pPr>
        <w:widowControl/>
        <w:overflowPunct w:val="0"/>
        <w:autoSpaceDE w:val="0"/>
        <w:autoSpaceDN w:val="0"/>
        <w:spacing w:after="0" w:line="240" w:lineRule="auto"/>
        <w:jc w:val="left"/>
        <w:rPr>
          <w:rFonts w:eastAsia="等线"/>
          <w:i/>
          <w:iCs/>
          <w:kern w:val="0"/>
          <w:szCs w:val="21"/>
          <w:lang w:val="en-GB" w:eastAsia="en-US"/>
        </w:rPr>
      </w:pPr>
      <w:r>
        <w:rPr>
          <w:rFonts w:eastAsia="等线"/>
          <w:i/>
          <w:iCs/>
          <w:kern w:val="0"/>
          <w:szCs w:val="21"/>
          <w:lang w:val="en-GB" w:eastAsia="en-US"/>
        </w:rPr>
        <w:t>Generic requirements:</w:t>
      </w:r>
    </w:p>
    <w:p w:rsidR="00227E10" w:rsidRDefault="00072960">
      <w:pPr>
        <w:widowControl/>
        <w:numPr>
          <w:ilvl w:val="0"/>
          <w:numId w:val="4"/>
        </w:numPr>
        <w:overflowPunct w:val="0"/>
        <w:autoSpaceDE w:val="0"/>
        <w:autoSpaceDN w:val="0"/>
        <w:spacing w:after="0" w:line="240" w:lineRule="auto"/>
        <w:ind w:left="568" w:hanging="284"/>
        <w:jc w:val="left"/>
        <w:rPr>
          <w:rFonts w:eastAsia="等线"/>
          <w:i/>
          <w:iCs/>
          <w:kern w:val="0"/>
          <w:szCs w:val="21"/>
          <w:lang w:val="en-GB" w:eastAsia="en-US"/>
        </w:rPr>
      </w:pPr>
      <w:r>
        <w:rPr>
          <w:rFonts w:eastAsia="等线"/>
          <w:i/>
          <w:iCs/>
          <w:kern w:val="0"/>
          <w:szCs w:val="21"/>
          <w:lang w:val="en-GB" w:eastAsia="en-US"/>
        </w:rPr>
        <w:t xml:space="preserve">Device complexity: Main motivation for the new device type is to lower the device cost and complexity as compared to high-end eMBB and URLLC devices of Rel-15/Rel-16. This is especially the case for industrial sensors. </w:t>
      </w:r>
    </w:p>
    <w:p w:rsidR="00227E10" w:rsidRDefault="00072960">
      <w:pPr>
        <w:widowControl/>
        <w:numPr>
          <w:ilvl w:val="0"/>
          <w:numId w:val="4"/>
        </w:numPr>
        <w:overflowPunct w:val="0"/>
        <w:autoSpaceDE w:val="0"/>
        <w:autoSpaceDN w:val="0"/>
        <w:spacing w:after="0" w:line="240" w:lineRule="auto"/>
        <w:ind w:left="568" w:hanging="284"/>
        <w:jc w:val="left"/>
        <w:rPr>
          <w:rFonts w:eastAsia="等线"/>
          <w:i/>
          <w:iCs/>
          <w:kern w:val="0"/>
          <w:szCs w:val="21"/>
          <w:lang w:val="en-GB" w:eastAsia="en-US"/>
        </w:rPr>
      </w:pPr>
      <w:r>
        <w:rPr>
          <w:rFonts w:eastAsia="等线"/>
          <w:i/>
          <w:iCs/>
          <w:kern w:val="0"/>
          <w:szCs w:val="21"/>
          <w:lang w:val="en-GB" w:eastAsia="en-US"/>
        </w:rPr>
        <w:t xml:space="preserve">Device size: Requirement for most use cases is that the standard enables a device design with compact form factor. </w:t>
      </w:r>
    </w:p>
    <w:p w:rsidR="00227E10" w:rsidRDefault="00072960">
      <w:pPr>
        <w:widowControl/>
        <w:numPr>
          <w:ilvl w:val="0"/>
          <w:numId w:val="4"/>
        </w:numPr>
        <w:overflowPunct w:val="0"/>
        <w:autoSpaceDE w:val="0"/>
        <w:autoSpaceDN w:val="0"/>
        <w:spacing w:afterLines="50" w:after="156" w:line="240" w:lineRule="auto"/>
        <w:ind w:left="568" w:hanging="284"/>
        <w:jc w:val="left"/>
        <w:rPr>
          <w:rFonts w:eastAsia="等线"/>
          <w:i/>
          <w:iCs/>
          <w:kern w:val="0"/>
          <w:szCs w:val="21"/>
          <w:lang w:val="en-GB" w:eastAsia="en-US"/>
        </w:rPr>
      </w:pPr>
      <w:r>
        <w:rPr>
          <w:rFonts w:eastAsia="等线"/>
          <w:i/>
          <w:iCs/>
          <w:kern w:val="0"/>
          <w:szCs w:val="21"/>
          <w:lang w:val="en-GB" w:eastAsia="en-US"/>
        </w:rPr>
        <w:t>Deployment scenarios: System should support all FR1/FR2 bands for FDD and TDD.</w:t>
      </w:r>
    </w:p>
    <w:p w:rsidR="00227E10" w:rsidRDefault="00072960">
      <w:pPr>
        <w:widowControl/>
        <w:overflowPunct w:val="0"/>
        <w:autoSpaceDE w:val="0"/>
        <w:autoSpaceDN w:val="0"/>
        <w:spacing w:after="0" w:line="240" w:lineRule="auto"/>
        <w:jc w:val="left"/>
        <w:rPr>
          <w:rFonts w:eastAsia="等线"/>
          <w:i/>
          <w:iCs/>
          <w:kern w:val="0"/>
          <w:szCs w:val="21"/>
          <w:lang w:val="en-GB" w:eastAsia="en-US"/>
        </w:rPr>
      </w:pPr>
      <w:r>
        <w:rPr>
          <w:rFonts w:eastAsia="等线"/>
          <w:i/>
          <w:iCs/>
          <w:kern w:val="0"/>
          <w:szCs w:val="21"/>
          <w:lang w:val="en-GB" w:eastAsia="en-US"/>
        </w:rPr>
        <w:t xml:space="preserve">Use case specific requirements: </w:t>
      </w:r>
    </w:p>
    <w:p w:rsidR="00227E10" w:rsidRDefault="00072960">
      <w:pPr>
        <w:widowControl/>
        <w:numPr>
          <w:ilvl w:val="0"/>
          <w:numId w:val="4"/>
        </w:numPr>
        <w:overflowPunct w:val="0"/>
        <w:autoSpaceDE w:val="0"/>
        <w:autoSpaceDN w:val="0"/>
        <w:spacing w:after="0" w:line="240" w:lineRule="auto"/>
        <w:ind w:left="568" w:hanging="284"/>
        <w:jc w:val="left"/>
        <w:rPr>
          <w:rFonts w:eastAsia="等线"/>
          <w:i/>
          <w:iCs/>
          <w:kern w:val="0"/>
          <w:szCs w:val="21"/>
          <w:lang w:val="en-GB" w:eastAsia="en-US"/>
        </w:rPr>
      </w:pPr>
      <w:r>
        <w:rPr>
          <w:rFonts w:eastAsia="等线"/>
          <w:i/>
          <w:iCs/>
          <w:kern w:val="0"/>
          <w:szCs w:val="21"/>
          <w:lang w:val="en-GB" w:eastAsia="en-US"/>
        </w:rPr>
        <w:t>Industrial wireless sensors: Reference use cases and requirements are described in TR 22.832 and TS 22.104: Communication service availability is 99.99% and end-to-end latency less than 100 ms. The reference bit rate is less than 2 Mbps (potentially asymmetric e.g. UL heavy traffic) for all use cases and the device is stationary. The battery should last at least few years. For safety related sensors, latency requirement is lower, 5-10 ms (TR 22.804)</w:t>
      </w:r>
    </w:p>
    <w:p w:rsidR="00227E10" w:rsidRDefault="00072960">
      <w:pPr>
        <w:widowControl/>
        <w:numPr>
          <w:ilvl w:val="0"/>
          <w:numId w:val="4"/>
        </w:numPr>
        <w:overflowPunct w:val="0"/>
        <w:autoSpaceDE w:val="0"/>
        <w:autoSpaceDN w:val="0"/>
        <w:spacing w:after="0" w:line="240" w:lineRule="auto"/>
        <w:ind w:left="568" w:hanging="284"/>
        <w:jc w:val="left"/>
        <w:rPr>
          <w:rFonts w:eastAsia="等线"/>
          <w:i/>
          <w:iCs/>
          <w:kern w:val="0"/>
          <w:szCs w:val="21"/>
          <w:lang w:val="en-GB" w:eastAsia="en-US"/>
        </w:rPr>
      </w:pPr>
      <w:r>
        <w:rPr>
          <w:rFonts w:eastAsia="等线"/>
          <w:i/>
          <w:iCs/>
          <w:kern w:val="0"/>
          <w:szCs w:val="21"/>
          <w:lang w:val="en-GB" w:eastAsia="en-US"/>
        </w:rPr>
        <w:t>Video Surveillance: As described in TR 22.804, reference economic video bitrate would be 2-4 Mbps, latency &lt; 500 ms, reliability 99%-99.9%. High-end video e.g. for farming would require 7.5-25 Mbps. It is noted that traffic pattern is dominated by UL transmissions.</w:t>
      </w:r>
    </w:p>
    <w:p w:rsidR="00227E10" w:rsidRDefault="00072960">
      <w:pPr>
        <w:widowControl/>
        <w:numPr>
          <w:ilvl w:val="0"/>
          <w:numId w:val="4"/>
        </w:numPr>
        <w:overflowPunct w:val="0"/>
        <w:autoSpaceDE w:val="0"/>
        <w:autoSpaceDN w:val="0"/>
        <w:spacing w:afterLines="50" w:after="156" w:line="240" w:lineRule="auto"/>
        <w:ind w:left="568" w:hanging="284"/>
        <w:jc w:val="left"/>
        <w:rPr>
          <w:rFonts w:eastAsia="等线"/>
          <w:i/>
          <w:iCs/>
          <w:kern w:val="0"/>
          <w:szCs w:val="21"/>
          <w:lang w:val="en-GB" w:eastAsia="en-US"/>
        </w:rPr>
      </w:pPr>
      <w:r>
        <w:rPr>
          <w:rFonts w:eastAsia="等线"/>
          <w:i/>
          <w:iCs/>
          <w:kern w:val="0"/>
          <w:szCs w:val="21"/>
          <w:lang w:val="en-GB" w:eastAsia="en-US"/>
        </w:rPr>
        <w:t>Wearables: Reference bitrate for smart wearable application can be 5-50 Mbps in DL and 2-5 Mbps in UL and peak bit rate of the device higher, up to 150 Mbps for downlink and up to 50 Mbps for uplink. Battery of the device should last multiple days (up to 1-2 weeks).</w:t>
      </w:r>
    </w:p>
    <w:p w:rsidR="00227E10" w:rsidRDefault="00072960">
      <w:pPr>
        <w:widowControl/>
        <w:overflowPunct w:val="0"/>
        <w:autoSpaceDE w:val="0"/>
        <w:autoSpaceDN w:val="0"/>
        <w:adjustRightInd w:val="0"/>
        <w:spacing w:beforeLines="50" w:before="156" w:after="120" w:line="240" w:lineRule="auto"/>
        <w:ind w:right="-96"/>
        <w:jc w:val="left"/>
        <w:textAlignment w:val="baseline"/>
        <w:rPr>
          <w:rFonts w:eastAsia="宋体"/>
          <w:kern w:val="0"/>
          <w:szCs w:val="21"/>
        </w:rPr>
      </w:pPr>
      <w:r>
        <w:rPr>
          <w:rFonts w:eastAsia="宋体" w:hint="eastAsia"/>
          <w:kern w:val="0"/>
          <w:szCs w:val="21"/>
        </w:rPr>
        <w:t>For industrial sensor use case, it is required to support at least few years long battery lifetime. And o</w:t>
      </w:r>
      <w:r>
        <w:rPr>
          <w:rFonts w:eastAsia="宋体"/>
          <w:kern w:val="0"/>
          <w:szCs w:val="21"/>
        </w:rPr>
        <w:t xml:space="preserve">ne of the target of this SI </w:t>
      </w:r>
      <w:r>
        <w:rPr>
          <w:rFonts w:eastAsia="宋体" w:hint="eastAsia"/>
          <w:kern w:val="0"/>
          <w:szCs w:val="21"/>
        </w:rPr>
        <w:t>target is to study UE power saving and battery lifetime enhancement for redcap UE in applicable use cases (e.g. delay tolerate)</w:t>
      </w:r>
      <w:r>
        <w:rPr>
          <w:rFonts w:eastAsia="宋体"/>
          <w:kern w:val="0"/>
          <w:szCs w:val="21"/>
        </w:rPr>
        <w:t xml:space="preserve">. </w:t>
      </w:r>
    </w:p>
    <w:p w:rsidR="00227E10" w:rsidRDefault="00072960">
      <w:pPr>
        <w:pStyle w:val="afffffff4"/>
        <w:numPr>
          <w:ilvl w:val="0"/>
          <w:numId w:val="5"/>
        </w:numPr>
        <w:spacing w:line="240" w:lineRule="auto"/>
        <w:ind w:right="-99"/>
        <w:jc w:val="left"/>
        <w:rPr>
          <w:rFonts w:ascii="Times New Roman" w:eastAsia="等线" w:hAnsi="Times New Roman"/>
          <w:i/>
          <w:iCs/>
          <w:kern w:val="0"/>
          <w:sz w:val="21"/>
          <w:szCs w:val="21"/>
          <w:lang w:val="en-GB" w:eastAsia="en-US"/>
        </w:rPr>
      </w:pPr>
      <w:r>
        <w:rPr>
          <w:rFonts w:ascii="Times New Roman" w:eastAsia="等线" w:hAnsi="Times New Roman"/>
          <w:i/>
          <w:iCs/>
          <w:kern w:val="0"/>
          <w:sz w:val="21"/>
          <w:szCs w:val="21"/>
          <w:lang w:val="en-GB" w:eastAsia="en-US"/>
        </w:rPr>
        <w:t>Reduced PDCCH monitoring by smaller numbers of blind decodes and CCE limits [RAN1].</w:t>
      </w:r>
    </w:p>
    <w:p w:rsidR="00227E10" w:rsidRDefault="00072960">
      <w:pPr>
        <w:pStyle w:val="afffffff4"/>
        <w:numPr>
          <w:ilvl w:val="0"/>
          <w:numId w:val="5"/>
        </w:numPr>
        <w:spacing w:line="240" w:lineRule="auto"/>
        <w:ind w:right="-99"/>
        <w:jc w:val="left"/>
        <w:rPr>
          <w:rFonts w:ascii="Times New Roman" w:eastAsia="等线" w:hAnsi="Times New Roman"/>
          <w:i/>
          <w:iCs/>
          <w:kern w:val="0"/>
          <w:sz w:val="21"/>
          <w:szCs w:val="21"/>
          <w:highlight w:val="green"/>
          <w:lang w:val="en-GB" w:eastAsia="en-US"/>
        </w:rPr>
      </w:pPr>
      <w:r>
        <w:rPr>
          <w:rFonts w:ascii="Times New Roman" w:eastAsia="等线" w:hAnsi="Times New Roman"/>
          <w:i/>
          <w:iCs/>
          <w:kern w:val="0"/>
          <w:sz w:val="21"/>
          <w:szCs w:val="21"/>
          <w:highlight w:val="green"/>
          <w:lang w:val="en-GB" w:eastAsia="en-US"/>
        </w:rPr>
        <w:t>Extended DRX for RRC Inactive and/or Idle [RAN2]</w:t>
      </w:r>
    </w:p>
    <w:p w:rsidR="00227E10" w:rsidRDefault="00072960">
      <w:pPr>
        <w:pStyle w:val="afffffff4"/>
        <w:numPr>
          <w:ilvl w:val="0"/>
          <w:numId w:val="5"/>
        </w:numPr>
        <w:spacing w:line="240" w:lineRule="auto"/>
        <w:ind w:right="-99"/>
        <w:jc w:val="left"/>
        <w:rPr>
          <w:rFonts w:ascii="Times New Roman" w:eastAsia="等线" w:hAnsi="Times New Roman"/>
          <w:i/>
          <w:iCs/>
          <w:kern w:val="0"/>
          <w:sz w:val="21"/>
          <w:szCs w:val="21"/>
          <w:lang w:val="en-GB" w:eastAsia="en-US"/>
        </w:rPr>
      </w:pPr>
      <w:r>
        <w:rPr>
          <w:rFonts w:ascii="Times New Roman" w:eastAsia="等线" w:hAnsi="Times New Roman"/>
          <w:i/>
          <w:iCs/>
          <w:kern w:val="0"/>
          <w:sz w:val="21"/>
          <w:szCs w:val="21"/>
          <w:lang w:val="en-GB" w:eastAsia="en-US"/>
        </w:rPr>
        <w:t>RRM relaxation for stationary devices [RAN2]</w:t>
      </w:r>
    </w:p>
    <w:p w:rsidR="00227E10" w:rsidRDefault="00072960">
      <w:pPr>
        <w:widowControl/>
        <w:overflowPunct w:val="0"/>
        <w:autoSpaceDE w:val="0"/>
        <w:autoSpaceDN w:val="0"/>
        <w:adjustRightInd w:val="0"/>
        <w:spacing w:beforeLines="50" w:before="156" w:after="120" w:line="240" w:lineRule="auto"/>
        <w:ind w:right="-96"/>
        <w:jc w:val="left"/>
        <w:textAlignment w:val="baseline"/>
        <w:rPr>
          <w:rFonts w:eastAsia="宋体"/>
          <w:kern w:val="0"/>
          <w:szCs w:val="21"/>
        </w:rPr>
      </w:pPr>
      <w:r>
        <w:rPr>
          <w:rFonts w:eastAsia="宋体" w:hint="eastAsia"/>
          <w:kern w:val="0"/>
          <w:szCs w:val="21"/>
        </w:rPr>
        <w:t>This contribution provides consideration on introducing extended DRX (eDRX) for redcap UE.</w:t>
      </w:r>
    </w:p>
    <w:p w:rsidR="00227E10" w:rsidRDefault="0007296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lastRenderedPageBreak/>
        <w:t>Discussion</w:t>
      </w:r>
    </w:p>
    <w:p w:rsidR="00227E10" w:rsidRDefault="00072960">
      <w:pPr>
        <w:widowControl/>
        <w:overflowPunct w:val="0"/>
        <w:autoSpaceDE w:val="0"/>
        <w:autoSpaceDN w:val="0"/>
        <w:adjustRightInd w:val="0"/>
        <w:spacing w:beforeLines="50" w:before="156" w:after="120" w:line="240" w:lineRule="auto"/>
        <w:ind w:right="-96"/>
        <w:jc w:val="left"/>
        <w:textAlignment w:val="baseline"/>
        <w:rPr>
          <w:rFonts w:eastAsia="宋体"/>
          <w:kern w:val="0"/>
          <w:szCs w:val="21"/>
        </w:rPr>
      </w:pPr>
      <w:r>
        <w:rPr>
          <w:rFonts w:eastAsia="宋体" w:hint="eastAsia"/>
          <w:kern w:val="0"/>
          <w:szCs w:val="21"/>
        </w:rPr>
        <w:t xml:space="preserve">According to requirement for </w:t>
      </w:r>
      <w:r w:rsidR="00FC2A39">
        <w:rPr>
          <w:rFonts w:eastAsia="宋体"/>
          <w:kern w:val="0"/>
          <w:szCs w:val="21"/>
          <w:lang w:val="en-GB" w:eastAsia="en-US"/>
        </w:rPr>
        <w:t xml:space="preserve">industrial </w:t>
      </w:r>
      <w:r>
        <w:rPr>
          <w:rFonts w:eastAsia="宋体"/>
          <w:kern w:val="0"/>
          <w:szCs w:val="21"/>
          <w:lang w:val="en-GB" w:eastAsia="en-US"/>
        </w:rPr>
        <w:t>wireless sensors</w:t>
      </w:r>
      <w:r>
        <w:rPr>
          <w:rFonts w:eastAsia="宋体" w:hint="eastAsia"/>
          <w:kern w:val="0"/>
          <w:szCs w:val="21"/>
        </w:rPr>
        <w:t xml:space="preserve">, the battery should last at least for years. In NB-IoT and LTE eMTC, there is similar requirement. To </w:t>
      </w:r>
      <w:r w:rsidR="00FC2A39">
        <w:rPr>
          <w:rFonts w:eastAsia="宋体"/>
          <w:kern w:val="0"/>
          <w:szCs w:val="21"/>
        </w:rPr>
        <w:t>meet</w:t>
      </w:r>
      <w:r w:rsidR="00FC2A39">
        <w:rPr>
          <w:rFonts w:eastAsia="宋体" w:hint="eastAsia"/>
          <w:kern w:val="0"/>
          <w:szCs w:val="21"/>
        </w:rPr>
        <w:t xml:space="preserve"> </w:t>
      </w:r>
      <w:r w:rsidR="00FC2A39">
        <w:rPr>
          <w:rFonts w:eastAsia="宋体"/>
          <w:kern w:val="0"/>
          <w:szCs w:val="21"/>
        </w:rPr>
        <w:t xml:space="preserve">the requirement of </w:t>
      </w:r>
      <w:r>
        <w:rPr>
          <w:rFonts w:eastAsia="宋体" w:hint="eastAsia"/>
          <w:kern w:val="0"/>
          <w:szCs w:val="21"/>
        </w:rPr>
        <w:t>extreme long batter</w:t>
      </w:r>
      <w:r w:rsidR="00FC2A39">
        <w:rPr>
          <w:rFonts w:eastAsia="宋体"/>
          <w:kern w:val="0"/>
          <w:szCs w:val="21"/>
        </w:rPr>
        <w:t>y</w:t>
      </w:r>
      <w:r>
        <w:rPr>
          <w:rFonts w:eastAsia="宋体" w:hint="eastAsia"/>
          <w:kern w:val="0"/>
          <w:szCs w:val="21"/>
        </w:rPr>
        <w:t xml:space="preserve"> life , extended DRX is introduced </w:t>
      </w:r>
      <w:r w:rsidR="00FC2A39">
        <w:rPr>
          <w:rFonts w:eastAsia="宋体"/>
          <w:kern w:val="0"/>
          <w:szCs w:val="21"/>
        </w:rPr>
        <w:t>in</w:t>
      </w:r>
      <w:r w:rsidR="00FC2A39">
        <w:rPr>
          <w:rFonts w:eastAsia="宋体" w:hint="eastAsia"/>
          <w:kern w:val="0"/>
          <w:szCs w:val="21"/>
        </w:rPr>
        <w:t xml:space="preserve"> </w:t>
      </w:r>
      <w:r>
        <w:rPr>
          <w:rFonts w:eastAsia="宋体" w:hint="eastAsia"/>
          <w:kern w:val="0"/>
          <w:szCs w:val="21"/>
        </w:rPr>
        <w:t>NB-IoT and LTE eMTC for RRC IDLE</w:t>
      </w:r>
      <w:r w:rsidR="00FC2A39">
        <w:rPr>
          <w:rFonts w:eastAsia="宋体"/>
          <w:kern w:val="0"/>
          <w:szCs w:val="21"/>
        </w:rPr>
        <w:t xml:space="preserve"> UEs</w:t>
      </w:r>
      <w:r>
        <w:rPr>
          <w:rFonts w:eastAsia="宋体" w:hint="eastAsia"/>
          <w:kern w:val="0"/>
          <w:szCs w:val="21"/>
        </w:rPr>
        <w:t xml:space="preserve"> in R</w:t>
      </w:r>
      <w:r w:rsidR="00FC2A39">
        <w:rPr>
          <w:rFonts w:eastAsia="宋体"/>
          <w:kern w:val="0"/>
          <w:szCs w:val="21"/>
        </w:rPr>
        <w:t xml:space="preserve">elease </w:t>
      </w:r>
      <w:r>
        <w:rPr>
          <w:rFonts w:eastAsia="宋体" w:hint="eastAsia"/>
          <w:kern w:val="0"/>
          <w:szCs w:val="21"/>
        </w:rPr>
        <w:t xml:space="preserve">13, and for RRC INACTIVE </w:t>
      </w:r>
      <w:r w:rsidR="00FC2A39">
        <w:rPr>
          <w:rFonts w:eastAsia="宋体"/>
          <w:kern w:val="0"/>
          <w:szCs w:val="21"/>
        </w:rPr>
        <w:t xml:space="preserve">UEs </w:t>
      </w:r>
      <w:r>
        <w:rPr>
          <w:rFonts w:eastAsia="宋体" w:hint="eastAsia"/>
          <w:kern w:val="0"/>
          <w:szCs w:val="21"/>
        </w:rPr>
        <w:t>in R</w:t>
      </w:r>
      <w:r w:rsidR="00FC2A39">
        <w:rPr>
          <w:rFonts w:eastAsia="宋体"/>
          <w:kern w:val="0"/>
          <w:szCs w:val="21"/>
        </w:rPr>
        <w:t xml:space="preserve">elease </w:t>
      </w:r>
      <w:r>
        <w:rPr>
          <w:rFonts w:eastAsia="宋体" w:hint="eastAsia"/>
          <w:kern w:val="0"/>
          <w:szCs w:val="21"/>
        </w:rPr>
        <w:t>16.</w:t>
      </w:r>
    </w:p>
    <w:p w:rsidR="00227E10" w:rsidRDefault="00072960">
      <w:pPr>
        <w:widowControl/>
        <w:overflowPunct w:val="0"/>
        <w:autoSpaceDE w:val="0"/>
        <w:autoSpaceDN w:val="0"/>
        <w:adjustRightInd w:val="0"/>
        <w:spacing w:beforeLines="50" w:before="156" w:after="120" w:line="240" w:lineRule="auto"/>
        <w:ind w:right="-96"/>
        <w:jc w:val="left"/>
        <w:textAlignment w:val="baseline"/>
        <w:rPr>
          <w:rFonts w:eastAsia="宋体"/>
          <w:kern w:val="0"/>
          <w:szCs w:val="21"/>
        </w:rPr>
      </w:pPr>
      <w:r>
        <w:rPr>
          <w:rFonts w:eastAsia="宋体" w:hint="eastAsia"/>
          <w:kern w:val="0"/>
          <w:szCs w:val="21"/>
        </w:rPr>
        <w:t>Following are the stage 2 description of eDRX for idle mode</w:t>
      </w:r>
      <w:r w:rsidR="00FC2A39">
        <w:rPr>
          <w:rFonts w:eastAsia="宋体"/>
          <w:kern w:val="0"/>
          <w:szCs w:val="21"/>
        </w:rPr>
        <w:t xml:space="preserve"> </w:t>
      </w:r>
      <w:r>
        <w:rPr>
          <w:rFonts w:eastAsia="宋体" w:hint="eastAsia"/>
          <w:kern w:val="0"/>
          <w:szCs w:val="21"/>
        </w:rPr>
        <w:t>[2]:</w:t>
      </w:r>
    </w:p>
    <w:tbl>
      <w:tblPr>
        <w:tblStyle w:val="af5"/>
        <w:tblW w:w="0" w:type="auto"/>
        <w:tblLook w:val="04A0" w:firstRow="1" w:lastRow="0" w:firstColumn="1" w:lastColumn="0" w:noHBand="0" w:noVBand="1"/>
      </w:tblPr>
      <w:tblGrid>
        <w:gridCol w:w="9628"/>
      </w:tblGrid>
      <w:tr w:rsidR="00227E10">
        <w:tc>
          <w:tcPr>
            <w:tcW w:w="9854" w:type="dxa"/>
          </w:tcPr>
          <w:p w:rsidR="00227E10" w:rsidRDefault="00072960">
            <w:pPr>
              <w:spacing w:line="240" w:lineRule="auto"/>
              <w:jc w:val="left"/>
            </w:pPr>
            <w:r>
              <w:t>When extended DRX (eDRX) is used in idle mode, the following are applicable:</w:t>
            </w:r>
          </w:p>
          <w:p w:rsidR="00227E10" w:rsidRDefault="00072960">
            <w:pPr>
              <w:pStyle w:val="B1"/>
              <w:spacing w:line="240" w:lineRule="auto"/>
            </w:pPr>
            <w:r>
              <w:t>-</w:t>
            </w:r>
            <w:r>
              <w:tab/>
              <w:t>The DRX cycle is extended up to and beyond 10.24s in idle mode, with a maximum value of 2621.44 seconds (43.69 minutes);</w:t>
            </w:r>
            <w:r>
              <w:rPr>
                <w:rFonts w:eastAsia="宋体"/>
                <w:lang w:eastAsia="zh-CN"/>
              </w:rPr>
              <w:t xml:space="preserve"> For NB-IoT, the maximum value of the DRX cycle is 10485.76 seconds (2.91 hours);</w:t>
            </w:r>
          </w:p>
          <w:p w:rsidR="00227E10" w:rsidRDefault="00072960">
            <w:pPr>
              <w:pStyle w:val="B1"/>
              <w:spacing w:line="240" w:lineRule="auto"/>
            </w:pPr>
            <w:r>
              <w:t>-</w:t>
            </w:r>
            <w:r>
              <w:tab/>
              <w:t>The hyper SFN (H-SFN) is broadcast by the cell and increments by one when the SFN wraps around;</w:t>
            </w:r>
          </w:p>
          <w:p w:rsidR="00227E10" w:rsidRDefault="00072960">
            <w:pPr>
              <w:pStyle w:val="B1"/>
              <w:spacing w:line="240" w:lineRule="auto"/>
            </w:pPr>
            <w:r>
              <w:t>-</w:t>
            </w:r>
            <w:r>
              <w:tab/>
              <w:t>Paging Hyperframe (PH) refers to the H-SFN in which the UE starts monitoring paging DRX during a Paging Time Window (PTW) used in ECM-IDLE. The PH is determined based on a formula that is known by the MME/AMF, UE and (ng-)eNB as a function of eDRX cycle and UE identity;</w:t>
            </w:r>
          </w:p>
          <w:p w:rsidR="00227E10" w:rsidRDefault="00072960">
            <w:pPr>
              <w:pStyle w:val="B1"/>
              <w:spacing w:line="240" w:lineRule="auto"/>
            </w:pPr>
            <w:r>
              <w:t>-</w:t>
            </w:r>
            <w:r>
              <w:tab/>
              <w:t xml:space="preserve">During the PTW, the UE monitors paging for the duration of the PTW (as configured by NAS) or until a paging message is including the UE's </w:t>
            </w:r>
            <w:r>
              <w:rPr>
                <w:bCs/>
                <w:lang w:eastAsia="en-GB"/>
              </w:rPr>
              <w:t>NAS identity</w:t>
            </w:r>
            <w:r>
              <w:t xml:space="preserve"> received for the UE, whichever is earlier. The possible starting offsets for the PTW are uniformly distributed within the PH and defined in TS 36.304 [11];</w:t>
            </w:r>
          </w:p>
          <w:p w:rsidR="00227E10" w:rsidRDefault="00072960">
            <w:pPr>
              <w:pStyle w:val="B1"/>
              <w:spacing w:line="240" w:lineRule="auto"/>
            </w:pPr>
            <w:r>
              <w:t>-</w:t>
            </w:r>
            <w:r>
              <w:tab/>
              <w:t>MME/AMF uses the formulas defined in TS 36.304 [11] to determine the PH as well as the beginning of the PTW and sends the S1 paging request just before the occurrence of the start of PTW or during PTW to avoid storing paging messages in the (ng-)eNB;</w:t>
            </w:r>
          </w:p>
          <w:p w:rsidR="00227E10" w:rsidRDefault="00072960">
            <w:pPr>
              <w:pStyle w:val="B1"/>
              <w:spacing w:line="240" w:lineRule="auto"/>
            </w:pPr>
            <w:r>
              <w:t>-</w:t>
            </w:r>
            <w:r>
              <w:tab/>
              <w:t>ETWS, CMAS, PWS requirement may not be met when a UE is in eDRX. For EAB, if the UE supports SIB14, when in extended DRX, it acquires SIB14 before establishing the RRC connection;</w:t>
            </w:r>
          </w:p>
          <w:p w:rsidR="00227E10" w:rsidRDefault="00072960">
            <w:pPr>
              <w:pStyle w:val="B1"/>
              <w:spacing w:line="240" w:lineRule="auto"/>
              <w:rPr>
                <w:lang w:val="en-US" w:eastAsia="zh-CN"/>
              </w:rPr>
            </w:pPr>
            <w:r>
              <w:t>-</w:t>
            </w:r>
            <w:r>
              <w:tab/>
              <w:t xml:space="preserve">When the eDRX cycle is longer than the system information modification period, the UE verifies that stored system information remains valid before establishing an RRC connection. Paging message can be used for system information change notification, when including </w:t>
            </w:r>
            <w:r>
              <w:rPr>
                <w:i/>
              </w:rPr>
              <w:t>systemInfoModification-eDRX</w:t>
            </w:r>
            <w:r>
              <w:t>, for a UE configured with eDRX cycle longer than the system information modification period.</w:t>
            </w:r>
          </w:p>
        </w:tc>
      </w:tr>
    </w:tbl>
    <w:p w:rsidR="00227E10" w:rsidRDefault="00072960">
      <w:pPr>
        <w:spacing w:line="240" w:lineRule="auto"/>
        <w:jc w:val="left"/>
        <w:rPr>
          <w:rFonts w:eastAsia="宋体"/>
        </w:rPr>
      </w:pPr>
      <w:r>
        <w:rPr>
          <w:rFonts w:hint="eastAsia"/>
        </w:rPr>
        <w:t xml:space="preserve">With eDRX, the DRX cycle for UE in RRC IDLE extended beyond 10.24s and maximum value can be </w:t>
      </w:r>
      <w:r>
        <w:t>43.69 minutes</w:t>
      </w:r>
      <w:r>
        <w:rPr>
          <w:rFonts w:hint="eastAsia"/>
        </w:rPr>
        <w:t xml:space="preserve"> and </w:t>
      </w:r>
      <w:r>
        <w:rPr>
          <w:rFonts w:eastAsia="宋体"/>
        </w:rPr>
        <w:t>2.91 hours</w:t>
      </w:r>
      <w:r>
        <w:rPr>
          <w:rFonts w:eastAsia="宋体" w:hint="eastAsia"/>
        </w:rPr>
        <w:t xml:space="preserve"> for eMTC UE and NB-IoT UE respectively. The UE configured with eDRX cycle larger than 10.24s monitor paging occasion based on paging time window (PTW).</w:t>
      </w:r>
    </w:p>
    <w:p w:rsidR="00227E10" w:rsidRDefault="00072960">
      <w:pPr>
        <w:spacing w:line="240" w:lineRule="auto"/>
        <w:jc w:val="left"/>
        <w:rPr>
          <w:rFonts w:eastAsia="宋体"/>
        </w:rPr>
      </w:pPr>
      <w:r>
        <w:rPr>
          <w:rFonts w:eastAsia="宋体" w:hint="eastAsia"/>
        </w:rPr>
        <w:t>The requirement of NB-IoT/eMTC eDRX is very similar to UE power saving requirement in redcap. Thus NB-IoT/eMTC eDRX can be taken as the baseline for redcap eDRX. Some modification may be needed to adapt NB-IoT/eMTC eDRX in NR. But these modification are assumed to be limited.</w:t>
      </w:r>
    </w:p>
    <w:p w:rsidR="00227E10" w:rsidRDefault="00072960">
      <w:pPr>
        <w:spacing w:line="240" w:lineRule="auto"/>
        <w:ind w:left="1069" w:hangingChars="507" w:hanging="1069"/>
        <w:jc w:val="left"/>
        <w:rPr>
          <w:rFonts w:eastAsia="宋体"/>
          <w:b/>
          <w:bCs/>
        </w:rPr>
      </w:pPr>
      <w:r>
        <w:rPr>
          <w:rFonts w:eastAsia="宋体" w:hint="eastAsia"/>
          <w:b/>
          <w:bCs/>
        </w:rPr>
        <w:t xml:space="preserve">Proposal 1: To introduce eDRX for redcap UE in RRC IDLE and RRC INACIVE and </w:t>
      </w:r>
      <w:r w:rsidR="00FC2A39">
        <w:rPr>
          <w:rFonts w:eastAsia="宋体" w:hint="eastAsia"/>
          <w:b/>
          <w:bCs/>
        </w:rPr>
        <w:t>tak</w:t>
      </w:r>
      <w:r w:rsidR="00FC2A39">
        <w:rPr>
          <w:rFonts w:eastAsia="宋体"/>
          <w:b/>
          <w:bCs/>
        </w:rPr>
        <w:t>e</w:t>
      </w:r>
      <w:r w:rsidR="00FC2A39">
        <w:rPr>
          <w:rFonts w:eastAsia="宋体" w:hint="eastAsia"/>
          <w:b/>
          <w:bCs/>
        </w:rPr>
        <w:t xml:space="preserve"> </w:t>
      </w:r>
      <w:r>
        <w:rPr>
          <w:rFonts w:eastAsia="宋体" w:hint="eastAsia"/>
          <w:b/>
          <w:bCs/>
        </w:rPr>
        <w:t>NB-IoT /eMTC eDRX as baseline.</w:t>
      </w:r>
    </w:p>
    <w:p w:rsidR="00227E10" w:rsidRDefault="00072960">
      <w:pPr>
        <w:spacing w:line="240" w:lineRule="auto"/>
        <w:jc w:val="left"/>
      </w:pPr>
      <w:r>
        <w:rPr>
          <w:rFonts w:hint="eastAsia"/>
        </w:rPr>
        <w:t>In NB-IoT/eMTC eDRX, the eDRX cycle is negotiated between UE and CN via NAS signaling. In R16 eDRX is already supported for eMTC and NB-IoT connected to 5GC. And in PAGING message, AMF inform gNB the paging eDRX information which including eDRX cycle and PTW window length. Thus it should not be difficult for SA to eDRX for NR redcap.</w:t>
      </w:r>
    </w:p>
    <w:p w:rsidR="00227E10" w:rsidRDefault="00072960">
      <w:pPr>
        <w:spacing w:line="240" w:lineRule="auto"/>
        <w:ind w:left="1265" w:hangingChars="600" w:hanging="1265"/>
        <w:jc w:val="left"/>
        <w:rPr>
          <w:rFonts w:eastAsia="宋体"/>
          <w:b/>
          <w:bCs/>
        </w:rPr>
      </w:pPr>
      <w:r>
        <w:rPr>
          <w:rFonts w:eastAsia="宋体" w:hint="eastAsia"/>
          <w:b/>
          <w:bCs/>
        </w:rPr>
        <w:t>Proposal 2: To ask SA2 whether eDRX negotiation and configuration can be supported for NR redcap UE.</w:t>
      </w:r>
    </w:p>
    <w:p w:rsidR="00227E10" w:rsidRDefault="00072960">
      <w:pPr>
        <w:spacing w:line="240" w:lineRule="auto"/>
        <w:jc w:val="left"/>
      </w:pPr>
      <w:r>
        <w:rPr>
          <w:rFonts w:hint="eastAsia"/>
        </w:rPr>
        <w:lastRenderedPageBreak/>
        <w:t>In eMTC eDRX, UE configured with eDRX monitors paging occasions according to following rules:</w:t>
      </w:r>
    </w:p>
    <w:tbl>
      <w:tblPr>
        <w:tblStyle w:val="af5"/>
        <w:tblW w:w="0" w:type="auto"/>
        <w:jc w:val="center"/>
        <w:tblLook w:val="04A0" w:firstRow="1" w:lastRow="0" w:firstColumn="1" w:lastColumn="0" w:noHBand="0" w:noVBand="1"/>
      </w:tblPr>
      <w:tblGrid>
        <w:gridCol w:w="3650"/>
        <w:gridCol w:w="5100"/>
      </w:tblGrid>
      <w:tr w:rsidR="00227E10">
        <w:trPr>
          <w:jc w:val="center"/>
        </w:trPr>
        <w:tc>
          <w:tcPr>
            <w:tcW w:w="3650" w:type="dxa"/>
          </w:tcPr>
          <w:p w:rsidR="00227E10" w:rsidRDefault="00072960">
            <w:pPr>
              <w:spacing w:line="240" w:lineRule="auto"/>
              <w:jc w:val="left"/>
              <w:rPr>
                <w:sz w:val="20"/>
                <w:szCs w:val="20"/>
              </w:rPr>
            </w:pPr>
            <w:r>
              <w:rPr>
                <w:rFonts w:hint="eastAsia"/>
                <w:sz w:val="20"/>
                <w:szCs w:val="20"/>
              </w:rPr>
              <w:t>Cases</w:t>
            </w:r>
          </w:p>
        </w:tc>
        <w:tc>
          <w:tcPr>
            <w:tcW w:w="5100" w:type="dxa"/>
          </w:tcPr>
          <w:p w:rsidR="00227E10" w:rsidRDefault="00072960">
            <w:pPr>
              <w:spacing w:line="240" w:lineRule="auto"/>
              <w:jc w:val="left"/>
              <w:rPr>
                <w:sz w:val="20"/>
                <w:szCs w:val="20"/>
              </w:rPr>
            </w:pPr>
            <w:r>
              <w:rPr>
                <w:rFonts w:hint="eastAsia"/>
                <w:sz w:val="20"/>
                <w:szCs w:val="20"/>
              </w:rPr>
              <w:t>UE monitor paging occasion rule</w:t>
            </w:r>
          </w:p>
        </w:tc>
      </w:tr>
      <w:tr w:rsidR="00227E10">
        <w:trPr>
          <w:jc w:val="center"/>
        </w:trPr>
        <w:tc>
          <w:tcPr>
            <w:tcW w:w="3650" w:type="dxa"/>
          </w:tcPr>
          <w:p w:rsidR="00227E10" w:rsidRDefault="00072960">
            <w:pPr>
              <w:spacing w:line="240" w:lineRule="auto"/>
              <w:jc w:val="left"/>
              <w:rPr>
                <w:sz w:val="20"/>
                <w:szCs w:val="20"/>
              </w:rPr>
            </w:pPr>
            <w:r>
              <w:rPr>
                <w:rFonts w:hint="eastAsia"/>
                <w:sz w:val="20"/>
                <w:szCs w:val="20"/>
              </w:rPr>
              <w:t>RRC IDLE, eDRX cycle &gt; 10.24s</w:t>
            </w:r>
          </w:p>
        </w:tc>
        <w:tc>
          <w:tcPr>
            <w:tcW w:w="5100" w:type="dxa"/>
          </w:tcPr>
          <w:p w:rsidR="00227E10" w:rsidRDefault="00072960">
            <w:pPr>
              <w:spacing w:line="240" w:lineRule="auto"/>
              <w:jc w:val="left"/>
              <w:rPr>
                <w:sz w:val="20"/>
                <w:szCs w:val="20"/>
              </w:rPr>
            </w:pPr>
            <w:r>
              <w:rPr>
                <w:rFonts w:hint="eastAsia"/>
                <w:sz w:val="20"/>
                <w:szCs w:val="20"/>
              </w:rPr>
              <w:t>within PTW: based on the shortest of UE specific DRX cycle and default paging cycle</w:t>
            </w:r>
          </w:p>
          <w:p w:rsidR="00227E10" w:rsidRDefault="00072960">
            <w:pPr>
              <w:spacing w:line="240" w:lineRule="auto"/>
              <w:jc w:val="left"/>
              <w:rPr>
                <w:sz w:val="20"/>
                <w:szCs w:val="20"/>
              </w:rPr>
            </w:pPr>
            <w:r>
              <w:rPr>
                <w:rFonts w:hint="eastAsia"/>
                <w:sz w:val="20"/>
                <w:szCs w:val="20"/>
              </w:rPr>
              <w:t>Outside PTW: not required to monitor PO</w:t>
            </w:r>
          </w:p>
        </w:tc>
      </w:tr>
      <w:tr w:rsidR="00227E10">
        <w:trPr>
          <w:jc w:val="center"/>
        </w:trPr>
        <w:tc>
          <w:tcPr>
            <w:tcW w:w="3650" w:type="dxa"/>
          </w:tcPr>
          <w:p w:rsidR="00227E10" w:rsidRDefault="00072960">
            <w:pPr>
              <w:spacing w:line="240" w:lineRule="auto"/>
              <w:jc w:val="left"/>
              <w:rPr>
                <w:sz w:val="20"/>
                <w:szCs w:val="20"/>
              </w:rPr>
            </w:pPr>
            <w:r>
              <w:rPr>
                <w:rFonts w:hint="eastAsia"/>
                <w:sz w:val="20"/>
                <w:szCs w:val="20"/>
              </w:rPr>
              <w:t>RRC INACTIVE, eDRX cycle &gt; 10.24s</w:t>
            </w:r>
          </w:p>
        </w:tc>
        <w:tc>
          <w:tcPr>
            <w:tcW w:w="5100" w:type="dxa"/>
          </w:tcPr>
          <w:p w:rsidR="00227E10" w:rsidRDefault="00072960">
            <w:pPr>
              <w:spacing w:line="240" w:lineRule="auto"/>
              <w:jc w:val="left"/>
              <w:rPr>
                <w:sz w:val="20"/>
                <w:szCs w:val="20"/>
              </w:rPr>
            </w:pPr>
            <w:r>
              <w:rPr>
                <w:rFonts w:hint="eastAsia"/>
                <w:sz w:val="20"/>
                <w:szCs w:val="20"/>
              </w:rPr>
              <w:t>within PTW: based on shortest of UE specific DRX cycle, default DRX cycle, and RAN paging cycle</w:t>
            </w:r>
          </w:p>
          <w:p w:rsidR="00227E10" w:rsidRDefault="00072960">
            <w:pPr>
              <w:spacing w:line="240" w:lineRule="auto"/>
              <w:jc w:val="left"/>
              <w:rPr>
                <w:sz w:val="20"/>
                <w:szCs w:val="20"/>
              </w:rPr>
            </w:pPr>
            <w:r>
              <w:rPr>
                <w:rFonts w:hint="eastAsia"/>
                <w:sz w:val="20"/>
                <w:szCs w:val="20"/>
              </w:rPr>
              <w:t>Outside PTW: based on RAN paging cycle</w:t>
            </w:r>
          </w:p>
        </w:tc>
      </w:tr>
      <w:tr w:rsidR="00227E10">
        <w:trPr>
          <w:jc w:val="center"/>
        </w:trPr>
        <w:tc>
          <w:tcPr>
            <w:tcW w:w="3650" w:type="dxa"/>
          </w:tcPr>
          <w:p w:rsidR="00227E10" w:rsidRDefault="00072960">
            <w:pPr>
              <w:spacing w:line="240" w:lineRule="auto"/>
              <w:jc w:val="left"/>
              <w:rPr>
                <w:sz w:val="20"/>
                <w:szCs w:val="20"/>
              </w:rPr>
            </w:pPr>
            <w:r>
              <w:rPr>
                <w:rFonts w:hint="eastAsia"/>
                <w:sz w:val="20"/>
                <w:szCs w:val="20"/>
              </w:rPr>
              <w:t xml:space="preserve">RRC IDLE and RRC INACTIVE, </w:t>
            </w:r>
          </w:p>
          <w:p w:rsidR="00227E10" w:rsidRDefault="00072960">
            <w:pPr>
              <w:spacing w:line="240" w:lineRule="auto"/>
              <w:jc w:val="left"/>
              <w:rPr>
                <w:sz w:val="20"/>
                <w:szCs w:val="20"/>
              </w:rPr>
            </w:pPr>
            <w:r>
              <w:rPr>
                <w:rFonts w:hint="eastAsia"/>
                <w:sz w:val="20"/>
                <w:szCs w:val="20"/>
              </w:rPr>
              <w:t>eDRX cycle &lt; 10.24s</w:t>
            </w:r>
          </w:p>
        </w:tc>
        <w:tc>
          <w:tcPr>
            <w:tcW w:w="5100" w:type="dxa"/>
          </w:tcPr>
          <w:p w:rsidR="00227E10" w:rsidRDefault="00072960">
            <w:pPr>
              <w:spacing w:line="240" w:lineRule="auto"/>
              <w:jc w:val="left"/>
              <w:rPr>
                <w:sz w:val="20"/>
                <w:szCs w:val="20"/>
              </w:rPr>
            </w:pPr>
            <w:r>
              <w:rPr>
                <w:rFonts w:hint="eastAsia"/>
                <w:sz w:val="20"/>
                <w:szCs w:val="20"/>
              </w:rPr>
              <w:t>based on eDRX cycle (taking eDRX cycle as the T)</w:t>
            </w:r>
          </w:p>
        </w:tc>
      </w:tr>
    </w:tbl>
    <w:p w:rsidR="00227E10" w:rsidRDefault="00072960">
      <w:pPr>
        <w:spacing w:line="240" w:lineRule="auto"/>
        <w:jc w:val="left"/>
        <w:rPr>
          <w:szCs w:val="21"/>
        </w:rPr>
      </w:pPr>
      <w:r>
        <w:rPr>
          <w:rFonts w:hint="eastAsia"/>
          <w:szCs w:val="21"/>
        </w:rPr>
        <w:t>If eDRX cycle is equal to or larger than 10.24s, the paging monitoring is based on PTW. RRC IDLE UE monitor paging within PTW. RRC INACIIVE UE monitor for RAN paging when outside PTW in addition to monitor paging within PTW.</w:t>
      </w:r>
    </w:p>
    <w:p w:rsidR="00227E10" w:rsidRDefault="00072960">
      <w:pPr>
        <w:spacing w:line="240" w:lineRule="auto"/>
        <w:jc w:val="left"/>
        <w:rPr>
          <w:szCs w:val="21"/>
        </w:rPr>
      </w:pPr>
      <w:r>
        <w:rPr>
          <w:rFonts w:hint="eastAsia"/>
          <w:szCs w:val="21"/>
        </w:rPr>
        <w:t>The PTW mechanism provides a period of time to monitor for a number of consecutive paging occasions. Then during an eDRX cycle, RRC IDLE UE only wake up once. UE power saving is maximized with this mechanism.</w:t>
      </w:r>
    </w:p>
    <w:p w:rsidR="00227E10" w:rsidRDefault="00072960">
      <w:pPr>
        <w:spacing w:line="240" w:lineRule="auto"/>
        <w:jc w:val="left"/>
        <w:rPr>
          <w:szCs w:val="21"/>
        </w:rPr>
      </w:pPr>
      <w:r>
        <w:rPr>
          <w:rFonts w:hint="eastAsia"/>
          <w:szCs w:val="21"/>
        </w:rPr>
        <w:t>One difference between NB-IoT/eMTC and NR is that the paging occasion in NR is a</w:t>
      </w:r>
      <w:r>
        <w:rPr>
          <w:szCs w:val="21"/>
        </w:rPr>
        <w:t xml:space="preserve"> set of PDCCH monitoring occasions and </w:t>
      </w:r>
      <w:r>
        <w:rPr>
          <w:rStyle w:val="afa"/>
          <w:i w:val="0"/>
          <w:szCs w:val="21"/>
        </w:rPr>
        <w:t>can consist of multiple time slots</w:t>
      </w:r>
      <w:r>
        <w:rPr>
          <w:rStyle w:val="afa"/>
          <w:rFonts w:hint="eastAsia"/>
          <w:i w:val="0"/>
          <w:szCs w:val="21"/>
        </w:rPr>
        <w:t>. Each PDCCH monitoring occasion within a PO is corresponding to a SSB thus UE can monitor proper PDCCH occasion for paging message. To adopt NB-IoT/eMTC PTW formula to NR spec, this difference should not be a problem, i.e. within PTW, NR redcap UE monitor paging occasion according to current NR paging monitoring rule.</w:t>
      </w:r>
    </w:p>
    <w:p w:rsidR="00227E10" w:rsidRDefault="00072960">
      <w:pPr>
        <w:spacing w:line="240" w:lineRule="auto"/>
        <w:ind w:left="1069" w:hangingChars="507" w:hanging="1069"/>
        <w:jc w:val="left"/>
        <w:rPr>
          <w:rFonts w:eastAsia="宋体"/>
          <w:b/>
          <w:bCs/>
        </w:rPr>
      </w:pPr>
      <w:r>
        <w:rPr>
          <w:rFonts w:eastAsia="宋体" w:hint="eastAsia"/>
          <w:b/>
          <w:bCs/>
        </w:rPr>
        <w:t xml:space="preserve">Proposal 3: </w:t>
      </w:r>
      <w:r w:rsidR="00FC2A39">
        <w:rPr>
          <w:rFonts w:eastAsia="宋体"/>
          <w:b/>
          <w:bCs/>
        </w:rPr>
        <w:t xml:space="preserve">For </w:t>
      </w:r>
      <w:r>
        <w:rPr>
          <w:rFonts w:eastAsia="宋体" w:hint="eastAsia"/>
          <w:b/>
          <w:bCs/>
        </w:rPr>
        <w:t>NR redcap UE configured with eDRX</w:t>
      </w:r>
      <w:r w:rsidR="00FC2A39">
        <w:rPr>
          <w:rFonts w:eastAsia="宋体"/>
          <w:b/>
          <w:bCs/>
        </w:rPr>
        <w:t>,</w:t>
      </w:r>
      <w:r>
        <w:rPr>
          <w:rFonts w:eastAsia="宋体" w:hint="eastAsia"/>
          <w:b/>
          <w:bCs/>
        </w:rPr>
        <w:t xml:space="preserve"> </w:t>
      </w:r>
      <w:r w:rsidR="00FC2A39">
        <w:rPr>
          <w:rFonts w:eastAsia="宋体"/>
          <w:b/>
          <w:bCs/>
        </w:rPr>
        <w:t xml:space="preserve">follow the following rules for </w:t>
      </w:r>
      <w:r>
        <w:rPr>
          <w:rFonts w:eastAsia="宋体" w:hint="eastAsia"/>
          <w:b/>
          <w:bCs/>
        </w:rPr>
        <w:t xml:space="preserve">paging </w:t>
      </w:r>
      <w:r w:rsidR="00FC2A39">
        <w:rPr>
          <w:rFonts w:eastAsia="宋体"/>
          <w:b/>
          <w:bCs/>
        </w:rPr>
        <w:t xml:space="preserve">monitoring </w:t>
      </w:r>
      <w:r>
        <w:rPr>
          <w:rFonts w:eastAsia="宋体" w:hint="eastAsia"/>
          <w:b/>
          <w:bCs/>
        </w:rPr>
        <w:t>in RRC_IDLE/RRC INACIVE:</w:t>
      </w:r>
    </w:p>
    <w:p w:rsidR="00227E10" w:rsidRPr="008E3A0C" w:rsidRDefault="00072960" w:rsidP="008E3A0C">
      <w:pPr>
        <w:pStyle w:val="afffffff4"/>
        <w:numPr>
          <w:ilvl w:val="0"/>
          <w:numId w:val="7"/>
        </w:numPr>
        <w:spacing w:line="240" w:lineRule="auto"/>
        <w:ind w:left="1418" w:hanging="284"/>
        <w:jc w:val="left"/>
        <w:rPr>
          <w:b/>
          <w:bCs/>
        </w:rPr>
      </w:pPr>
      <w:r w:rsidRPr="008E3A0C">
        <w:rPr>
          <w:b/>
          <w:bCs/>
        </w:rPr>
        <w:t>For UE in RRC IDLE/INACIVE and eDRX cycle is less than 10.24s, paging monitoring is based on eDRX cycle (taking eDRX cycle as T in PF/PO formula).</w:t>
      </w:r>
    </w:p>
    <w:p w:rsidR="00227E10" w:rsidRPr="008E3A0C" w:rsidRDefault="00072960" w:rsidP="008E3A0C">
      <w:pPr>
        <w:pStyle w:val="afffffff4"/>
        <w:numPr>
          <w:ilvl w:val="0"/>
          <w:numId w:val="7"/>
        </w:numPr>
        <w:spacing w:line="240" w:lineRule="auto"/>
        <w:ind w:left="1418" w:hanging="284"/>
        <w:jc w:val="left"/>
        <w:rPr>
          <w:b/>
          <w:bCs/>
        </w:rPr>
      </w:pPr>
      <w:r w:rsidRPr="008E3A0C">
        <w:rPr>
          <w:b/>
          <w:bCs/>
        </w:rPr>
        <w:t xml:space="preserve">For UE in RRC IDLE and eDRX cycle is equal to or larger than 10.24s, paging monitoring within PTW is based on the shortest </w:t>
      </w:r>
      <w:r w:rsidR="00BE2D88">
        <w:rPr>
          <w:rFonts w:hint="eastAsia"/>
          <w:b/>
          <w:bCs/>
          <w:lang w:eastAsia="zh-CN"/>
        </w:rPr>
        <w:t>value</w:t>
      </w:r>
      <w:r w:rsidR="00BE2D88">
        <w:rPr>
          <w:b/>
          <w:bCs/>
          <w:lang w:eastAsia="zh-CN"/>
        </w:rPr>
        <w:t xml:space="preserve"> </w:t>
      </w:r>
      <w:r w:rsidRPr="008E3A0C">
        <w:rPr>
          <w:b/>
          <w:bCs/>
        </w:rPr>
        <w:t>of default paging cycle</w:t>
      </w:r>
      <w:r w:rsidR="00BE2D88">
        <w:rPr>
          <w:b/>
          <w:bCs/>
        </w:rPr>
        <w:t xml:space="preserve"> and</w:t>
      </w:r>
      <w:r w:rsidRPr="008E3A0C">
        <w:rPr>
          <w:b/>
          <w:bCs/>
        </w:rPr>
        <w:t>UE specific paging cycle if configured.</w:t>
      </w:r>
    </w:p>
    <w:p w:rsidR="00227E10" w:rsidRPr="008E3A0C" w:rsidRDefault="00072960" w:rsidP="008E3A0C">
      <w:pPr>
        <w:pStyle w:val="afffffff4"/>
        <w:numPr>
          <w:ilvl w:val="0"/>
          <w:numId w:val="7"/>
        </w:numPr>
        <w:spacing w:line="240" w:lineRule="auto"/>
        <w:ind w:left="1418" w:hanging="284"/>
        <w:jc w:val="left"/>
        <w:rPr>
          <w:b/>
          <w:bCs/>
        </w:rPr>
      </w:pPr>
      <w:r w:rsidRPr="008E3A0C">
        <w:rPr>
          <w:b/>
          <w:bCs/>
        </w:rPr>
        <w:t>For UE in RRC INACTIVE and eDRX cycle is equal to or larger than 10.24s, paging monitoring within PTW is base</w:t>
      </w:r>
      <w:r w:rsidR="00FC2A39">
        <w:rPr>
          <w:rFonts w:hint="eastAsia"/>
          <w:b/>
          <w:bCs/>
          <w:lang w:eastAsia="zh-CN"/>
        </w:rPr>
        <w:t>d</w:t>
      </w:r>
      <w:r w:rsidRPr="008E3A0C">
        <w:rPr>
          <w:b/>
          <w:bCs/>
        </w:rPr>
        <w:t xml:space="preserve"> on the shortest </w:t>
      </w:r>
      <w:r w:rsidR="00BE2D88">
        <w:rPr>
          <w:b/>
          <w:bCs/>
        </w:rPr>
        <w:t xml:space="preserve">value </w:t>
      </w:r>
      <w:r w:rsidRPr="008E3A0C">
        <w:rPr>
          <w:b/>
          <w:bCs/>
        </w:rPr>
        <w:t>of default paging cycle, UE specific paging cycle is configured, and RAN paging cycle; paging monitoring outside PTW is based on the RAN paging cycle.</w:t>
      </w:r>
    </w:p>
    <w:p w:rsidR="00227E10" w:rsidRDefault="00072960">
      <w:pPr>
        <w:spacing w:line="240" w:lineRule="auto"/>
        <w:jc w:val="left"/>
        <w:rPr>
          <w:szCs w:val="21"/>
        </w:rPr>
      </w:pPr>
      <w:r>
        <w:rPr>
          <w:rFonts w:hint="eastAsia"/>
          <w:szCs w:val="21"/>
        </w:rPr>
        <w:t xml:space="preserve">The PTW is UE-specific and is determined by a Paging Hyperframe (PH), a starting position within the PH (PTW_start) and an ending position (PTW_end). The PH, PTW_start and PTW_end is calculated based on eDRX cycle, UE_ID_H, and PTW length. The PTW is negotiated between UE and CN.The UE_ID_H is the 10 or 12 most significant bits of Hashed ID. The details are attached in Annex A of this contribution. </w:t>
      </w:r>
    </w:p>
    <w:p w:rsidR="00227E10" w:rsidRDefault="00072960">
      <w:pPr>
        <w:spacing w:line="240" w:lineRule="auto"/>
        <w:jc w:val="left"/>
        <w:rPr>
          <w:szCs w:val="21"/>
        </w:rPr>
      </w:pPr>
      <w:r>
        <w:rPr>
          <w:rFonts w:hint="eastAsia"/>
          <w:szCs w:val="21"/>
        </w:rPr>
        <w:t xml:space="preserve">The intention of using the hashed UE ID (UE_ID_H) in the PTW formula is to spread UE with similar ID in different hyperframe. In the formula, UE_ID can be 5G-S-TMSI to support eDRX when eMTC/NB-IoT UE </w:t>
      </w:r>
      <w:r>
        <w:rPr>
          <w:rFonts w:hint="eastAsia"/>
          <w:szCs w:val="21"/>
        </w:rPr>
        <w:lastRenderedPageBreak/>
        <w:t>connected to 5GC. Thus, it would be no issue to take this PTW formula as the baseline for NR redcap.</w:t>
      </w:r>
    </w:p>
    <w:p w:rsidR="00227E10" w:rsidRDefault="00072960">
      <w:pPr>
        <w:spacing w:line="240" w:lineRule="auto"/>
        <w:ind w:left="1069" w:hangingChars="507" w:hanging="1069"/>
        <w:jc w:val="left"/>
        <w:rPr>
          <w:rFonts w:eastAsia="宋体"/>
          <w:b/>
          <w:bCs/>
        </w:rPr>
      </w:pPr>
      <w:r>
        <w:rPr>
          <w:rFonts w:eastAsia="宋体" w:hint="eastAsia"/>
          <w:b/>
          <w:bCs/>
        </w:rPr>
        <w:t xml:space="preserve">Proposal 4: </w:t>
      </w:r>
      <w:r w:rsidR="00BE2D88">
        <w:rPr>
          <w:rFonts w:eastAsia="宋体" w:hint="eastAsia"/>
          <w:b/>
          <w:bCs/>
        </w:rPr>
        <w:t>Tak</w:t>
      </w:r>
      <w:r w:rsidR="00BE2D88">
        <w:rPr>
          <w:rFonts w:eastAsia="宋体"/>
          <w:b/>
          <w:bCs/>
        </w:rPr>
        <w:t>e</w:t>
      </w:r>
      <w:r w:rsidR="00BE2D88">
        <w:rPr>
          <w:rFonts w:eastAsia="宋体" w:hint="eastAsia"/>
          <w:b/>
          <w:bCs/>
        </w:rPr>
        <w:t xml:space="preserve"> </w:t>
      </w:r>
      <w:r>
        <w:rPr>
          <w:rFonts w:eastAsia="宋体" w:hint="eastAsia"/>
          <w:b/>
          <w:bCs/>
        </w:rPr>
        <w:t>PTW formula of NB-IoT/eMTC as the baseline for NR redcap.</w:t>
      </w:r>
    </w:p>
    <w:p w:rsidR="00227E10" w:rsidRDefault="00072960">
      <w:pPr>
        <w:spacing w:line="240" w:lineRule="auto"/>
        <w:jc w:val="left"/>
      </w:pPr>
      <w:r>
        <w:rPr>
          <w:rFonts w:hint="eastAsia"/>
        </w:rPr>
        <w:t>For RRC INACTIVE and outside PTW, UE keep monitoring paging occasion based on RAN paging cycle for RAN paging. For the sake of UE power saving, RAN paging cycle for eMTC is extended to 512 and 1024 RF.</w:t>
      </w:r>
    </w:p>
    <w:p w:rsidR="00227E10" w:rsidRDefault="00072960">
      <w:pPr>
        <w:spacing w:line="240" w:lineRule="auto"/>
        <w:jc w:val="left"/>
      </w:pPr>
      <w:r>
        <w:rPr>
          <w:rFonts w:hint="eastAsia"/>
        </w:rPr>
        <w:t>In current NR spec, the RAN paging cycle has same range as default paging cycle. To save UE power, it is necessary to extend RAN paging cycle length as in eMTC.</w:t>
      </w:r>
    </w:p>
    <w:p w:rsidR="00227E10" w:rsidRDefault="00072960">
      <w:pPr>
        <w:spacing w:line="240" w:lineRule="auto"/>
        <w:ind w:left="1069" w:hangingChars="507" w:hanging="1069"/>
        <w:jc w:val="left"/>
        <w:rPr>
          <w:rFonts w:eastAsia="宋体"/>
          <w:b/>
          <w:bCs/>
        </w:rPr>
      </w:pPr>
      <w:r>
        <w:rPr>
          <w:rFonts w:eastAsia="宋体" w:hint="eastAsia"/>
          <w:b/>
          <w:bCs/>
        </w:rPr>
        <w:t xml:space="preserve">Proposal 5: To extend RAN paging cycle length. FFS </w:t>
      </w:r>
      <w:r w:rsidR="00825F1D">
        <w:rPr>
          <w:rFonts w:eastAsia="宋体"/>
          <w:b/>
          <w:bCs/>
        </w:rPr>
        <w:t xml:space="preserve">on </w:t>
      </w:r>
      <w:r>
        <w:rPr>
          <w:rFonts w:eastAsia="宋体" w:hint="eastAsia"/>
          <w:b/>
          <w:bCs/>
        </w:rPr>
        <w:t>the value</w:t>
      </w:r>
      <w:r w:rsidR="00825F1D">
        <w:rPr>
          <w:rFonts w:eastAsia="宋体"/>
          <w:b/>
          <w:bCs/>
        </w:rPr>
        <w:t xml:space="preserve"> range</w:t>
      </w:r>
      <w:r>
        <w:rPr>
          <w:rFonts w:eastAsia="宋体" w:hint="eastAsia"/>
          <w:b/>
          <w:bCs/>
        </w:rPr>
        <w:t>.</w:t>
      </w:r>
    </w:p>
    <w:p w:rsidR="00227E10" w:rsidRDefault="00072960">
      <w:pPr>
        <w:spacing w:line="240" w:lineRule="auto"/>
        <w:jc w:val="left"/>
      </w:pPr>
      <w:r>
        <w:rPr>
          <w:rFonts w:hint="eastAsia"/>
        </w:rPr>
        <w:t>Because eDRX cycle is extended beyond 10.24s, it is necessary to introduce H-SFN as time unit and time synchronization between UE and NW. In NB-IoT/eMTC, t</w:t>
      </w:r>
      <w:r>
        <w:t>he hyper SFN (H-SFN) is broadcast by the cell and increments by one when the SFN wraps around</w:t>
      </w:r>
      <w:r>
        <w:rPr>
          <w:rFonts w:hint="eastAsia"/>
        </w:rPr>
        <w:t>. In NB-IoT, 2 lest significant bits of H-SFN is broadcast in MIB, while the rest is included in SIB1. This is beneficial for fast acquiring H-SFN when operating in eDRX.</w:t>
      </w:r>
    </w:p>
    <w:p w:rsidR="00227E10" w:rsidRDefault="00072960">
      <w:pPr>
        <w:spacing w:line="240" w:lineRule="auto"/>
        <w:jc w:val="left"/>
      </w:pPr>
      <w:r>
        <w:rPr>
          <w:rFonts w:hint="eastAsia"/>
        </w:rPr>
        <w:t>For NR redcap, how to broadcast H-SFN to support fast acquiring H-SFN can be further studied.</w:t>
      </w:r>
    </w:p>
    <w:p w:rsidR="00227E10" w:rsidRDefault="00072960">
      <w:pPr>
        <w:spacing w:line="240" w:lineRule="auto"/>
        <w:ind w:left="1069" w:hangingChars="507" w:hanging="1069"/>
        <w:jc w:val="left"/>
        <w:rPr>
          <w:rFonts w:eastAsia="宋体"/>
          <w:b/>
          <w:bCs/>
        </w:rPr>
      </w:pPr>
      <w:r>
        <w:rPr>
          <w:rFonts w:eastAsia="宋体" w:hint="eastAsia"/>
          <w:b/>
          <w:bCs/>
        </w:rPr>
        <w:t xml:space="preserve">Proposal 6: To introduce hyper SFN (H-SFN) for NR redcap, which increments by one when SFN wrap around. FFS </w:t>
      </w:r>
      <w:r w:rsidR="00BE2D88">
        <w:rPr>
          <w:rFonts w:eastAsia="宋体"/>
          <w:b/>
          <w:bCs/>
        </w:rPr>
        <w:t xml:space="preserve">on </w:t>
      </w:r>
      <w:r>
        <w:rPr>
          <w:rFonts w:eastAsia="宋体" w:hint="eastAsia"/>
          <w:b/>
          <w:bCs/>
        </w:rPr>
        <w:t>how to broadcast H-SFN.</w:t>
      </w:r>
    </w:p>
    <w:p w:rsidR="00227E10" w:rsidRDefault="00072960">
      <w:pPr>
        <w:spacing w:line="240" w:lineRule="auto"/>
        <w:jc w:val="left"/>
      </w:pPr>
      <w:r>
        <w:rPr>
          <w:rFonts w:hint="eastAsia"/>
        </w:rPr>
        <w:t xml:space="preserve">Another issue related to eDRX is related to system information change notification and acquisition. Because eDRX cycle may be larger than system information change notification, eDRX UE may miss the system information change. Thus to enable system information update </w:t>
      </w:r>
      <w:r>
        <w:t xml:space="preserve">for </w:t>
      </w:r>
      <w:r>
        <w:rPr>
          <w:rFonts w:hint="eastAsia"/>
        </w:rPr>
        <w:t xml:space="preserve">UE </w:t>
      </w:r>
      <w:r>
        <w:t xml:space="preserve">configured to use a DRX cycle </w:t>
      </w:r>
      <w:r>
        <w:rPr>
          <w:rFonts w:eastAsia="宋体"/>
        </w:rPr>
        <w:t xml:space="preserve">longer </w:t>
      </w:r>
      <w:r>
        <w:t>than the modification period, an eDRX acquisition period is defined.</w:t>
      </w:r>
      <w:r>
        <w:rPr>
          <w:rFonts w:hint="eastAsia"/>
        </w:rPr>
        <w:t xml:space="preserve"> And in paging message, system information change notification for eDRX is added for eDRX UE. An UE operating in eDRX receiving this indicator will </w:t>
      </w:r>
      <w:r>
        <w:t>acquire system information immediately from the start of the next eDRX acquisition period.</w:t>
      </w:r>
      <w:r>
        <w:rPr>
          <w:rFonts w:hint="eastAsia"/>
        </w:rPr>
        <w:t xml:space="preserve"> The eDRX </w:t>
      </w:r>
      <w:r>
        <w:t xml:space="preserve">acquisition </w:t>
      </w:r>
      <w:r>
        <w:rPr>
          <w:rFonts w:hint="eastAsia"/>
        </w:rPr>
        <w:t>is 256 HFN long for eMTC and 1024 H-SFN for NB-IoT.</w:t>
      </w:r>
    </w:p>
    <w:p w:rsidR="00227E10" w:rsidRDefault="00072960">
      <w:pPr>
        <w:spacing w:line="240" w:lineRule="auto"/>
        <w:jc w:val="left"/>
      </w:pPr>
      <w:r>
        <w:rPr>
          <w:rFonts w:hint="eastAsia"/>
        </w:rPr>
        <w:t>With this mechanism, UE operating in eDRX will update system information at a fixed time location. The NW should ensure eDRX UE can receive paging message during the eDRX acquisition period, i.e. keep the SI related to paging reception unchanged during acquisition period. Otherwise, UE operating in eDRX will not receive paging.</w:t>
      </w:r>
    </w:p>
    <w:p w:rsidR="00227E10" w:rsidRDefault="00072960">
      <w:pPr>
        <w:spacing w:line="240" w:lineRule="auto"/>
        <w:jc w:val="left"/>
      </w:pPr>
      <w:r>
        <w:rPr>
          <w:rFonts w:hint="eastAsia"/>
        </w:rPr>
        <w:t>This mechanism can be reused for NR redcap by introducing a new indicator in paging message/short message, and define eDRX acquisition period.</w:t>
      </w:r>
    </w:p>
    <w:p w:rsidR="00227E10" w:rsidRDefault="00072960">
      <w:pPr>
        <w:spacing w:line="240" w:lineRule="auto"/>
        <w:ind w:left="1073" w:hangingChars="509" w:hanging="1073"/>
        <w:jc w:val="left"/>
        <w:rPr>
          <w:rFonts w:eastAsia="宋体"/>
          <w:b/>
          <w:bCs/>
        </w:rPr>
      </w:pPr>
      <w:r>
        <w:rPr>
          <w:rFonts w:eastAsia="宋体" w:hint="eastAsia"/>
          <w:b/>
          <w:bCs/>
        </w:rPr>
        <w:t>Proposal 7: To introduce an indicator in NR paging message/short message, to indicate system information modification for UE operating in eDRX. UE operating in eDRX acquires system information at the beginning of next eDRX acquisition period. FFS</w:t>
      </w:r>
      <w:r w:rsidR="00BE2D88">
        <w:rPr>
          <w:rFonts w:eastAsia="宋体"/>
          <w:b/>
          <w:bCs/>
        </w:rPr>
        <w:t xml:space="preserve"> on</w:t>
      </w:r>
      <w:r>
        <w:rPr>
          <w:rFonts w:eastAsia="宋体" w:hint="eastAsia"/>
          <w:b/>
          <w:bCs/>
        </w:rPr>
        <w:t xml:space="preserve"> the </w:t>
      </w:r>
      <w:r w:rsidR="00BE2D88">
        <w:rPr>
          <w:rFonts w:eastAsia="宋体"/>
          <w:b/>
          <w:bCs/>
        </w:rPr>
        <w:t xml:space="preserve">length of </w:t>
      </w:r>
      <w:r>
        <w:rPr>
          <w:rFonts w:eastAsia="宋体" w:hint="eastAsia"/>
          <w:b/>
          <w:bCs/>
        </w:rPr>
        <w:t>eDRX acquisition period.</w:t>
      </w:r>
    </w:p>
    <w:p w:rsidR="00227E10" w:rsidRDefault="00072960">
      <w:pPr>
        <w:spacing w:line="240" w:lineRule="auto"/>
        <w:ind w:left="1073" w:hangingChars="509" w:hanging="1073"/>
        <w:jc w:val="left"/>
        <w:rPr>
          <w:rFonts w:eastAsia="宋体"/>
          <w:b/>
          <w:bCs/>
        </w:rPr>
      </w:pPr>
      <w:r>
        <w:rPr>
          <w:rFonts w:eastAsia="宋体" w:hint="eastAsia"/>
          <w:b/>
          <w:bCs/>
        </w:rPr>
        <w:t xml:space="preserve">Proposal 8: The NW should ensure the paging monitoring related configuration </w:t>
      </w:r>
      <w:r w:rsidR="00BE2D88">
        <w:rPr>
          <w:rFonts w:eastAsia="宋体"/>
          <w:b/>
          <w:bCs/>
        </w:rPr>
        <w:t>does not</w:t>
      </w:r>
      <w:r w:rsidR="00BE2D88">
        <w:rPr>
          <w:rFonts w:eastAsia="宋体" w:hint="eastAsia"/>
          <w:b/>
          <w:bCs/>
        </w:rPr>
        <w:t xml:space="preserve"> </w:t>
      </w:r>
      <w:r>
        <w:rPr>
          <w:rFonts w:eastAsia="宋体" w:hint="eastAsia"/>
          <w:b/>
          <w:bCs/>
        </w:rPr>
        <w:t>change during an eDRX acquisition period.</w:t>
      </w:r>
    </w:p>
    <w:p w:rsidR="00227E10" w:rsidRDefault="00072960">
      <w:pPr>
        <w:spacing w:line="240" w:lineRule="auto"/>
        <w:jc w:val="left"/>
      </w:pPr>
      <w:r>
        <w:rPr>
          <w:rFonts w:hint="eastAsia"/>
        </w:rPr>
        <w:t>Because the eDRX cycle may be longer than SI modification period, UE operating in eDRX may miss IS updates. Thus it is possible when it intend to initiate RRC setup or RRC resume, its local stored SI is not valid anymore. In NB/eMTC, it is up to the UE to check whether its local stored SI message is still valid. NB-IoT/eMTC provides fast method for validation by including SI value tag in NB-IoT MIB, and system information unchanged indicator in eMTC MIB.</w:t>
      </w:r>
    </w:p>
    <w:p w:rsidR="00227E10" w:rsidRDefault="00072960">
      <w:pPr>
        <w:spacing w:line="240" w:lineRule="auto"/>
        <w:jc w:val="left"/>
      </w:pPr>
      <w:r>
        <w:rPr>
          <w:rFonts w:hint="eastAsia"/>
        </w:rPr>
        <w:lastRenderedPageBreak/>
        <w:t>This mechanism can also be reused for NR redcap, i.e. it is up to UE to verify its local stored SI before initiate RRC setup or resume. And the UE should acquire up to dated SI if the SI validation fails.</w:t>
      </w:r>
    </w:p>
    <w:p w:rsidR="00227E10" w:rsidRDefault="00072960">
      <w:pPr>
        <w:spacing w:line="240" w:lineRule="auto"/>
        <w:jc w:val="left"/>
      </w:pPr>
      <w:r>
        <w:rPr>
          <w:rFonts w:hint="eastAsia"/>
        </w:rPr>
        <w:t xml:space="preserve">Although there is very limited spare space in NR MIB, the similar fast indication for SI validation should be discussed in RAN2. </w:t>
      </w:r>
      <w:r w:rsidR="00FC2A39">
        <w:t>O</w:t>
      </w:r>
      <w:r>
        <w:rPr>
          <w:rFonts w:hint="eastAsia"/>
        </w:rPr>
        <w:t>therwise, UE in RRC INACTIVE has to acquire the whole SIB1 to check whether SI is changed before initiate RRC resume for periodic RNAU.</w:t>
      </w:r>
    </w:p>
    <w:p w:rsidR="00227E10" w:rsidRDefault="00072960">
      <w:pPr>
        <w:spacing w:line="240" w:lineRule="auto"/>
        <w:ind w:left="1069" w:hangingChars="507" w:hanging="1069"/>
        <w:jc w:val="left"/>
        <w:rPr>
          <w:rFonts w:eastAsia="宋体"/>
          <w:b/>
          <w:bCs/>
        </w:rPr>
      </w:pPr>
      <w:r>
        <w:rPr>
          <w:rFonts w:eastAsia="宋体" w:hint="eastAsia"/>
          <w:b/>
          <w:bCs/>
        </w:rPr>
        <w:t xml:space="preserve">Proposal 9: </w:t>
      </w:r>
      <w:r w:rsidR="00BE2D88">
        <w:rPr>
          <w:rFonts w:eastAsia="宋体"/>
          <w:b/>
          <w:bCs/>
        </w:rPr>
        <w:t xml:space="preserve">A </w:t>
      </w:r>
      <w:r>
        <w:rPr>
          <w:rFonts w:eastAsia="宋体" w:hint="eastAsia"/>
          <w:b/>
          <w:bCs/>
        </w:rPr>
        <w:t xml:space="preserve">UE </w:t>
      </w:r>
      <w:r w:rsidR="00BE2D88">
        <w:rPr>
          <w:rFonts w:eastAsia="宋体"/>
          <w:b/>
          <w:bCs/>
        </w:rPr>
        <w:t>configured with</w:t>
      </w:r>
      <w:r>
        <w:rPr>
          <w:rFonts w:eastAsia="宋体" w:hint="eastAsia"/>
          <w:b/>
          <w:bCs/>
        </w:rPr>
        <w:t xml:space="preserve"> eDRX validate</w:t>
      </w:r>
      <w:r w:rsidR="00BE2D88">
        <w:rPr>
          <w:rFonts w:eastAsia="宋体"/>
          <w:b/>
          <w:bCs/>
        </w:rPr>
        <w:t>s</w:t>
      </w:r>
      <w:r>
        <w:rPr>
          <w:rFonts w:eastAsia="宋体" w:hint="eastAsia"/>
          <w:b/>
          <w:bCs/>
        </w:rPr>
        <w:t xml:space="preserve"> its stored SI before initiate</w:t>
      </w:r>
      <w:r w:rsidR="00BE2D88">
        <w:rPr>
          <w:rFonts w:eastAsia="宋体"/>
          <w:b/>
          <w:bCs/>
        </w:rPr>
        <w:t>s</w:t>
      </w:r>
      <w:r>
        <w:rPr>
          <w:rFonts w:eastAsia="宋体" w:hint="eastAsia"/>
          <w:b/>
          <w:bCs/>
        </w:rPr>
        <w:t xml:space="preserve"> RRC setup or resume procedure.</w:t>
      </w:r>
    </w:p>
    <w:p w:rsidR="00227E10" w:rsidRDefault="00072960">
      <w:pPr>
        <w:spacing w:line="240" w:lineRule="auto"/>
        <w:ind w:left="1069" w:hangingChars="507" w:hanging="1069"/>
        <w:jc w:val="left"/>
      </w:pPr>
      <w:r>
        <w:rPr>
          <w:rFonts w:eastAsia="宋体" w:hint="eastAsia"/>
          <w:b/>
          <w:bCs/>
        </w:rPr>
        <w:t xml:space="preserve">Proposal 10: </w:t>
      </w:r>
      <w:r w:rsidR="00BE2D88">
        <w:rPr>
          <w:rFonts w:eastAsia="宋体"/>
          <w:b/>
          <w:bCs/>
        </w:rPr>
        <w:t>S</w:t>
      </w:r>
      <w:r>
        <w:rPr>
          <w:rFonts w:eastAsia="宋体" w:hint="eastAsia"/>
          <w:b/>
          <w:bCs/>
        </w:rPr>
        <w:t>imilar to NB-IoT/eMTC</w:t>
      </w:r>
      <w:r w:rsidR="00BE2D88">
        <w:rPr>
          <w:rFonts w:eastAsia="宋体"/>
          <w:b/>
          <w:bCs/>
        </w:rPr>
        <w:t>, t</w:t>
      </w:r>
      <w:r w:rsidR="00BE2D88">
        <w:rPr>
          <w:rFonts w:eastAsia="宋体" w:hint="eastAsia"/>
          <w:b/>
          <w:bCs/>
        </w:rPr>
        <w:t xml:space="preserve">he NW </w:t>
      </w:r>
      <w:r w:rsidR="00BE2D88">
        <w:rPr>
          <w:rFonts w:eastAsia="宋体"/>
          <w:b/>
          <w:bCs/>
        </w:rPr>
        <w:t xml:space="preserve">can </w:t>
      </w:r>
      <w:r w:rsidR="00BE2D88">
        <w:rPr>
          <w:rFonts w:eastAsia="宋体" w:hint="eastAsia"/>
          <w:b/>
          <w:bCs/>
        </w:rPr>
        <w:t xml:space="preserve">provide </w:t>
      </w:r>
      <w:r w:rsidR="00825F1D">
        <w:rPr>
          <w:rFonts w:eastAsia="宋体"/>
          <w:b/>
          <w:bCs/>
        </w:rPr>
        <w:t>method</w:t>
      </w:r>
      <w:r w:rsidR="00BE2D88">
        <w:rPr>
          <w:rFonts w:eastAsia="宋体" w:hint="eastAsia"/>
          <w:b/>
          <w:bCs/>
        </w:rPr>
        <w:t xml:space="preserve"> for fast SI validation</w:t>
      </w:r>
      <w:r>
        <w:rPr>
          <w:rFonts w:eastAsia="宋体" w:hint="eastAsia"/>
          <w:b/>
          <w:bCs/>
        </w:rPr>
        <w:t>.</w:t>
      </w:r>
    </w:p>
    <w:p w:rsidR="00227E10" w:rsidRDefault="0007296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t>Conclusion</w:t>
      </w:r>
    </w:p>
    <w:p w:rsidR="008E3A0C" w:rsidRDefault="008E3A0C" w:rsidP="008E3A0C">
      <w:pPr>
        <w:spacing w:line="240" w:lineRule="auto"/>
        <w:ind w:left="1069" w:hangingChars="507" w:hanging="1069"/>
        <w:jc w:val="left"/>
        <w:rPr>
          <w:rFonts w:eastAsia="宋体"/>
          <w:b/>
          <w:bCs/>
        </w:rPr>
      </w:pPr>
      <w:r>
        <w:rPr>
          <w:rFonts w:eastAsia="宋体" w:hint="eastAsia"/>
          <w:b/>
          <w:bCs/>
        </w:rPr>
        <w:t>Proposal 1: To introduce eDRX for redcap UE in RRC IDLE and RRC INACIVE and tak</w:t>
      </w:r>
      <w:r>
        <w:rPr>
          <w:rFonts w:eastAsia="宋体"/>
          <w:b/>
          <w:bCs/>
        </w:rPr>
        <w:t>e</w:t>
      </w:r>
      <w:r>
        <w:rPr>
          <w:rFonts w:eastAsia="宋体" w:hint="eastAsia"/>
          <w:b/>
          <w:bCs/>
        </w:rPr>
        <w:t xml:space="preserve"> NB-IoT /eMTC eDRX as baseline.</w:t>
      </w:r>
    </w:p>
    <w:p w:rsidR="008E3A0C" w:rsidRDefault="008E3A0C" w:rsidP="008E3A0C">
      <w:pPr>
        <w:spacing w:line="240" w:lineRule="auto"/>
        <w:ind w:left="1265" w:hangingChars="600" w:hanging="1265"/>
        <w:jc w:val="left"/>
        <w:rPr>
          <w:rFonts w:eastAsia="宋体"/>
          <w:b/>
          <w:bCs/>
        </w:rPr>
      </w:pPr>
      <w:r>
        <w:rPr>
          <w:rFonts w:eastAsia="宋体" w:hint="eastAsia"/>
          <w:b/>
          <w:bCs/>
        </w:rPr>
        <w:t>Proposal 2: To ask SA2 whether eDRX negotiation and configuration can be supported for NR redcap UE.</w:t>
      </w:r>
    </w:p>
    <w:p w:rsidR="008E3A0C" w:rsidRDefault="008E3A0C" w:rsidP="008E3A0C">
      <w:pPr>
        <w:spacing w:line="240" w:lineRule="auto"/>
        <w:ind w:left="1069" w:hangingChars="507" w:hanging="1069"/>
        <w:jc w:val="left"/>
        <w:rPr>
          <w:rFonts w:eastAsia="宋体"/>
          <w:b/>
          <w:bCs/>
        </w:rPr>
      </w:pPr>
      <w:r>
        <w:rPr>
          <w:rFonts w:eastAsia="宋体" w:hint="eastAsia"/>
          <w:b/>
          <w:bCs/>
        </w:rPr>
        <w:t xml:space="preserve">Proposal 3: </w:t>
      </w:r>
      <w:r>
        <w:rPr>
          <w:rFonts w:eastAsia="宋体"/>
          <w:b/>
          <w:bCs/>
        </w:rPr>
        <w:t xml:space="preserve">For </w:t>
      </w:r>
      <w:r>
        <w:rPr>
          <w:rFonts w:eastAsia="宋体" w:hint="eastAsia"/>
          <w:b/>
          <w:bCs/>
        </w:rPr>
        <w:t>NR redcap UE configured with eDRX</w:t>
      </w:r>
      <w:r>
        <w:rPr>
          <w:rFonts w:eastAsia="宋体"/>
          <w:b/>
          <w:bCs/>
        </w:rPr>
        <w:t>,</w:t>
      </w:r>
      <w:r>
        <w:rPr>
          <w:rFonts w:eastAsia="宋体" w:hint="eastAsia"/>
          <w:b/>
          <w:bCs/>
        </w:rPr>
        <w:t xml:space="preserve"> </w:t>
      </w:r>
      <w:r>
        <w:rPr>
          <w:rFonts w:eastAsia="宋体"/>
          <w:b/>
          <w:bCs/>
        </w:rPr>
        <w:t xml:space="preserve">follow the following rules for </w:t>
      </w:r>
      <w:r>
        <w:rPr>
          <w:rFonts w:eastAsia="宋体" w:hint="eastAsia"/>
          <w:b/>
          <w:bCs/>
        </w:rPr>
        <w:t xml:space="preserve">paging </w:t>
      </w:r>
      <w:r>
        <w:rPr>
          <w:rFonts w:eastAsia="宋体"/>
          <w:b/>
          <w:bCs/>
        </w:rPr>
        <w:t xml:space="preserve">monitoring </w:t>
      </w:r>
      <w:r>
        <w:rPr>
          <w:rFonts w:eastAsia="宋体" w:hint="eastAsia"/>
          <w:b/>
          <w:bCs/>
        </w:rPr>
        <w:t>in RRC_IDLE/RRC INACIVE:</w:t>
      </w:r>
    </w:p>
    <w:p w:rsidR="008E3A0C" w:rsidRPr="008E3A0C" w:rsidRDefault="008E3A0C" w:rsidP="008E3A0C">
      <w:pPr>
        <w:pStyle w:val="afffffff4"/>
        <w:numPr>
          <w:ilvl w:val="0"/>
          <w:numId w:val="7"/>
        </w:numPr>
        <w:spacing w:line="240" w:lineRule="auto"/>
        <w:ind w:left="1418" w:hanging="284"/>
        <w:jc w:val="left"/>
        <w:rPr>
          <w:b/>
          <w:bCs/>
        </w:rPr>
      </w:pPr>
      <w:r w:rsidRPr="008E3A0C">
        <w:rPr>
          <w:b/>
          <w:bCs/>
        </w:rPr>
        <w:t>For UE in RRC IDLE/INACIVE and eDRX cycle is less than 10.24s, paging monitoring is based on eDRX cycle (taking eDRX cycle as T in PF/PO formula).</w:t>
      </w:r>
    </w:p>
    <w:p w:rsidR="008E3A0C" w:rsidRPr="008E3A0C" w:rsidRDefault="008E3A0C" w:rsidP="008E3A0C">
      <w:pPr>
        <w:pStyle w:val="afffffff4"/>
        <w:numPr>
          <w:ilvl w:val="0"/>
          <w:numId w:val="7"/>
        </w:numPr>
        <w:spacing w:line="240" w:lineRule="auto"/>
        <w:ind w:left="1418" w:hanging="284"/>
        <w:jc w:val="left"/>
        <w:rPr>
          <w:b/>
          <w:bCs/>
        </w:rPr>
      </w:pPr>
      <w:r w:rsidRPr="008E3A0C">
        <w:rPr>
          <w:b/>
          <w:bCs/>
        </w:rPr>
        <w:t xml:space="preserve">For UE in RRC IDLE and eDRX cycle is equal to or larger than 10.24s, paging monitoring within PTW is based on the shortest </w:t>
      </w:r>
      <w:r>
        <w:rPr>
          <w:rFonts w:hint="eastAsia"/>
          <w:b/>
          <w:bCs/>
          <w:lang w:eastAsia="zh-CN"/>
        </w:rPr>
        <w:t>value</w:t>
      </w:r>
      <w:r>
        <w:rPr>
          <w:b/>
          <w:bCs/>
          <w:lang w:eastAsia="zh-CN"/>
        </w:rPr>
        <w:t xml:space="preserve"> </w:t>
      </w:r>
      <w:r w:rsidRPr="008E3A0C">
        <w:rPr>
          <w:b/>
          <w:bCs/>
        </w:rPr>
        <w:t>of default paging cycle</w:t>
      </w:r>
      <w:r>
        <w:rPr>
          <w:b/>
          <w:bCs/>
        </w:rPr>
        <w:t xml:space="preserve"> and</w:t>
      </w:r>
      <w:r w:rsidRPr="008E3A0C">
        <w:rPr>
          <w:b/>
          <w:bCs/>
        </w:rPr>
        <w:t>UE specific paging cycle if configured.</w:t>
      </w:r>
    </w:p>
    <w:p w:rsidR="008E3A0C" w:rsidRPr="008E3A0C" w:rsidRDefault="008E3A0C" w:rsidP="008E3A0C">
      <w:pPr>
        <w:pStyle w:val="afffffff4"/>
        <w:numPr>
          <w:ilvl w:val="0"/>
          <w:numId w:val="7"/>
        </w:numPr>
        <w:spacing w:line="240" w:lineRule="auto"/>
        <w:ind w:left="1418" w:hanging="284"/>
        <w:jc w:val="left"/>
        <w:rPr>
          <w:b/>
          <w:bCs/>
        </w:rPr>
      </w:pPr>
      <w:r w:rsidRPr="008E3A0C">
        <w:rPr>
          <w:b/>
          <w:bCs/>
        </w:rPr>
        <w:t>For UE in RRC INACTIVE and eDRX cycle is equal to or larger than 10.24s, paging monitoring within PTW is base</w:t>
      </w:r>
      <w:r>
        <w:rPr>
          <w:rFonts w:hint="eastAsia"/>
          <w:b/>
          <w:bCs/>
          <w:lang w:eastAsia="zh-CN"/>
        </w:rPr>
        <w:t>d</w:t>
      </w:r>
      <w:r w:rsidRPr="008E3A0C">
        <w:rPr>
          <w:b/>
          <w:bCs/>
        </w:rPr>
        <w:t xml:space="preserve"> on the shortest </w:t>
      </w:r>
      <w:r>
        <w:rPr>
          <w:b/>
          <w:bCs/>
        </w:rPr>
        <w:t xml:space="preserve">value </w:t>
      </w:r>
      <w:r w:rsidRPr="008E3A0C">
        <w:rPr>
          <w:b/>
          <w:bCs/>
        </w:rPr>
        <w:t>of default paging cycle, UE specific paging cycle is configured, and RAN paging cycle; paging monitoring outside PTW is based on the RAN paging cycle.</w:t>
      </w:r>
    </w:p>
    <w:p w:rsidR="008E3A0C" w:rsidRDefault="008E3A0C" w:rsidP="008E3A0C">
      <w:pPr>
        <w:spacing w:line="240" w:lineRule="auto"/>
        <w:ind w:left="1069" w:hangingChars="507" w:hanging="1069"/>
        <w:jc w:val="left"/>
        <w:rPr>
          <w:rFonts w:eastAsia="宋体"/>
          <w:b/>
          <w:bCs/>
        </w:rPr>
      </w:pPr>
      <w:r>
        <w:rPr>
          <w:rFonts w:eastAsia="宋体" w:hint="eastAsia"/>
          <w:b/>
          <w:bCs/>
        </w:rPr>
        <w:t>Proposal 4: Tak</w:t>
      </w:r>
      <w:r>
        <w:rPr>
          <w:rFonts w:eastAsia="宋体"/>
          <w:b/>
          <w:bCs/>
        </w:rPr>
        <w:t>e</w:t>
      </w:r>
      <w:r>
        <w:rPr>
          <w:rFonts w:eastAsia="宋体" w:hint="eastAsia"/>
          <w:b/>
          <w:bCs/>
        </w:rPr>
        <w:t xml:space="preserve"> PTW formula of NB-IoT/eMTC as the baseline for NR redcap.</w:t>
      </w:r>
    </w:p>
    <w:p w:rsidR="00825F1D" w:rsidRDefault="00825F1D" w:rsidP="00825F1D">
      <w:pPr>
        <w:spacing w:line="240" w:lineRule="auto"/>
        <w:ind w:left="1069" w:hangingChars="507" w:hanging="1069"/>
        <w:jc w:val="left"/>
        <w:rPr>
          <w:rFonts w:eastAsia="宋体"/>
          <w:b/>
          <w:bCs/>
        </w:rPr>
      </w:pPr>
      <w:r>
        <w:rPr>
          <w:rFonts w:eastAsia="宋体" w:hint="eastAsia"/>
          <w:b/>
          <w:bCs/>
        </w:rPr>
        <w:t xml:space="preserve">Proposal 5: To extend RAN paging cycle length. FFS </w:t>
      </w:r>
      <w:r>
        <w:rPr>
          <w:rFonts w:eastAsia="宋体"/>
          <w:b/>
          <w:bCs/>
        </w:rPr>
        <w:t xml:space="preserve">on </w:t>
      </w:r>
      <w:r>
        <w:rPr>
          <w:rFonts w:eastAsia="宋体" w:hint="eastAsia"/>
          <w:b/>
          <w:bCs/>
        </w:rPr>
        <w:t>the value</w:t>
      </w:r>
      <w:r>
        <w:rPr>
          <w:rFonts w:eastAsia="宋体"/>
          <w:b/>
          <w:bCs/>
        </w:rPr>
        <w:t xml:space="preserve"> range</w:t>
      </w:r>
      <w:r>
        <w:rPr>
          <w:rFonts w:eastAsia="宋体" w:hint="eastAsia"/>
          <w:b/>
          <w:bCs/>
        </w:rPr>
        <w:t>.</w:t>
      </w:r>
    </w:p>
    <w:p w:rsidR="00825F1D" w:rsidRDefault="00825F1D" w:rsidP="00825F1D">
      <w:pPr>
        <w:spacing w:line="240" w:lineRule="auto"/>
        <w:ind w:left="1069" w:hangingChars="507" w:hanging="1069"/>
        <w:jc w:val="left"/>
        <w:rPr>
          <w:rFonts w:eastAsia="宋体"/>
          <w:b/>
          <w:bCs/>
        </w:rPr>
      </w:pPr>
      <w:r>
        <w:rPr>
          <w:rFonts w:eastAsia="宋体" w:hint="eastAsia"/>
          <w:b/>
          <w:bCs/>
        </w:rPr>
        <w:t xml:space="preserve">Proposal 6: To introduce hyper SFN (H-SFN) for NR redcap, which increments by one when SFN wrap around. FFS </w:t>
      </w:r>
      <w:r>
        <w:rPr>
          <w:rFonts w:eastAsia="宋体"/>
          <w:b/>
          <w:bCs/>
        </w:rPr>
        <w:t xml:space="preserve">on </w:t>
      </w:r>
      <w:r>
        <w:rPr>
          <w:rFonts w:eastAsia="宋体" w:hint="eastAsia"/>
          <w:b/>
          <w:bCs/>
        </w:rPr>
        <w:t>how to broadcast H-SFN.</w:t>
      </w:r>
    </w:p>
    <w:p w:rsidR="00825F1D" w:rsidRDefault="00825F1D" w:rsidP="00825F1D">
      <w:pPr>
        <w:spacing w:line="240" w:lineRule="auto"/>
        <w:ind w:left="1073" w:hangingChars="509" w:hanging="1073"/>
        <w:jc w:val="left"/>
        <w:rPr>
          <w:rFonts w:eastAsia="宋体"/>
          <w:b/>
          <w:bCs/>
        </w:rPr>
      </w:pPr>
      <w:r>
        <w:rPr>
          <w:rFonts w:eastAsia="宋体" w:hint="eastAsia"/>
          <w:b/>
          <w:bCs/>
        </w:rPr>
        <w:t>Proposal 7: To introduce an indicator in NR paging message/short message, to indicate system information modification for UE operating in eDRX. UE operating in eDRX acquires system information at the beginning of next eDRX acquisition period. FFS</w:t>
      </w:r>
      <w:r>
        <w:rPr>
          <w:rFonts w:eastAsia="宋体"/>
          <w:b/>
          <w:bCs/>
        </w:rPr>
        <w:t xml:space="preserve"> on</w:t>
      </w:r>
      <w:r>
        <w:rPr>
          <w:rFonts w:eastAsia="宋体" w:hint="eastAsia"/>
          <w:b/>
          <w:bCs/>
        </w:rPr>
        <w:t xml:space="preserve"> the </w:t>
      </w:r>
      <w:r>
        <w:rPr>
          <w:rFonts w:eastAsia="宋体"/>
          <w:b/>
          <w:bCs/>
        </w:rPr>
        <w:t xml:space="preserve">length of </w:t>
      </w:r>
      <w:r>
        <w:rPr>
          <w:rFonts w:eastAsia="宋体" w:hint="eastAsia"/>
          <w:b/>
          <w:bCs/>
        </w:rPr>
        <w:t>eDRX acquisition period.</w:t>
      </w:r>
    </w:p>
    <w:p w:rsidR="00825F1D" w:rsidRDefault="00825F1D" w:rsidP="00825F1D">
      <w:pPr>
        <w:spacing w:line="240" w:lineRule="auto"/>
        <w:ind w:left="1073" w:hangingChars="509" w:hanging="1073"/>
        <w:jc w:val="left"/>
        <w:rPr>
          <w:rFonts w:eastAsia="宋体"/>
          <w:b/>
          <w:bCs/>
        </w:rPr>
      </w:pPr>
      <w:r>
        <w:rPr>
          <w:rFonts w:eastAsia="宋体" w:hint="eastAsia"/>
          <w:b/>
          <w:bCs/>
        </w:rPr>
        <w:t xml:space="preserve">Proposal 8: The NW should ensure the paging monitoring related configuration </w:t>
      </w:r>
      <w:r>
        <w:rPr>
          <w:rFonts w:eastAsia="宋体"/>
          <w:b/>
          <w:bCs/>
        </w:rPr>
        <w:t>does not</w:t>
      </w:r>
      <w:r>
        <w:rPr>
          <w:rFonts w:eastAsia="宋体" w:hint="eastAsia"/>
          <w:b/>
          <w:bCs/>
        </w:rPr>
        <w:t xml:space="preserve"> change during an eDRX acquisition period.</w:t>
      </w:r>
    </w:p>
    <w:p w:rsidR="00825F1D" w:rsidRDefault="00825F1D" w:rsidP="00825F1D">
      <w:pPr>
        <w:spacing w:line="240" w:lineRule="auto"/>
        <w:ind w:left="1069" w:hangingChars="507" w:hanging="1069"/>
        <w:jc w:val="left"/>
        <w:rPr>
          <w:rFonts w:eastAsia="宋体"/>
          <w:b/>
          <w:bCs/>
        </w:rPr>
      </w:pPr>
      <w:r>
        <w:rPr>
          <w:rFonts w:eastAsia="宋体" w:hint="eastAsia"/>
          <w:b/>
          <w:bCs/>
        </w:rPr>
        <w:t xml:space="preserve">Proposal 9: </w:t>
      </w:r>
      <w:r>
        <w:rPr>
          <w:rFonts w:eastAsia="宋体"/>
          <w:b/>
          <w:bCs/>
        </w:rPr>
        <w:t xml:space="preserve">A </w:t>
      </w:r>
      <w:r>
        <w:rPr>
          <w:rFonts w:eastAsia="宋体" w:hint="eastAsia"/>
          <w:b/>
          <w:bCs/>
        </w:rPr>
        <w:t xml:space="preserve">UE </w:t>
      </w:r>
      <w:r>
        <w:rPr>
          <w:rFonts w:eastAsia="宋体"/>
          <w:b/>
          <w:bCs/>
        </w:rPr>
        <w:t>configured with</w:t>
      </w:r>
      <w:r>
        <w:rPr>
          <w:rFonts w:eastAsia="宋体" w:hint="eastAsia"/>
          <w:b/>
          <w:bCs/>
        </w:rPr>
        <w:t xml:space="preserve"> eDRX validate</w:t>
      </w:r>
      <w:r>
        <w:rPr>
          <w:rFonts w:eastAsia="宋体"/>
          <w:b/>
          <w:bCs/>
        </w:rPr>
        <w:t>s</w:t>
      </w:r>
      <w:r>
        <w:rPr>
          <w:rFonts w:eastAsia="宋体" w:hint="eastAsia"/>
          <w:b/>
          <w:bCs/>
        </w:rPr>
        <w:t xml:space="preserve"> its stored SI before initiate</w:t>
      </w:r>
      <w:r>
        <w:rPr>
          <w:rFonts w:eastAsia="宋体"/>
          <w:b/>
          <w:bCs/>
        </w:rPr>
        <w:t>s</w:t>
      </w:r>
      <w:r>
        <w:rPr>
          <w:rFonts w:eastAsia="宋体" w:hint="eastAsia"/>
          <w:b/>
          <w:bCs/>
        </w:rPr>
        <w:t xml:space="preserve"> RRC setup or resume procedure.</w:t>
      </w:r>
    </w:p>
    <w:p w:rsidR="00825F1D" w:rsidRDefault="00825F1D" w:rsidP="00825F1D">
      <w:pPr>
        <w:spacing w:line="240" w:lineRule="auto"/>
        <w:ind w:left="1069" w:hangingChars="507" w:hanging="1069"/>
        <w:jc w:val="left"/>
      </w:pPr>
      <w:r>
        <w:rPr>
          <w:rFonts w:eastAsia="宋体" w:hint="eastAsia"/>
          <w:b/>
          <w:bCs/>
        </w:rPr>
        <w:t xml:space="preserve">Proposal 10: </w:t>
      </w:r>
      <w:r>
        <w:rPr>
          <w:rFonts w:eastAsia="宋体"/>
          <w:b/>
          <w:bCs/>
        </w:rPr>
        <w:t>S</w:t>
      </w:r>
      <w:r>
        <w:rPr>
          <w:rFonts w:eastAsia="宋体" w:hint="eastAsia"/>
          <w:b/>
          <w:bCs/>
        </w:rPr>
        <w:t>imilar to NB-IoT/eMTC</w:t>
      </w:r>
      <w:r>
        <w:rPr>
          <w:rFonts w:eastAsia="宋体"/>
          <w:b/>
          <w:bCs/>
        </w:rPr>
        <w:t>, t</w:t>
      </w:r>
      <w:r>
        <w:rPr>
          <w:rFonts w:eastAsia="宋体" w:hint="eastAsia"/>
          <w:b/>
          <w:bCs/>
        </w:rPr>
        <w:t xml:space="preserve">he NW </w:t>
      </w:r>
      <w:r>
        <w:rPr>
          <w:rFonts w:eastAsia="宋体"/>
          <w:b/>
          <w:bCs/>
        </w:rPr>
        <w:t xml:space="preserve">can </w:t>
      </w:r>
      <w:r>
        <w:rPr>
          <w:rFonts w:eastAsia="宋体" w:hint="eastAsia"/>
          <w:b/>
          <w:bCs/>
        </w:rPr>
        <w:t xml:space="preserve">provide </w:t>
      </w:r>
      <w:r>
        <w:rPr>
          <w:rFonts w:eastAsia="宋体"/>
          <w:b/>
          <w:bCs/>
        </w:rPr>
        <w:t>method</w:t>
      </w:r>
      <w:r>
        <w:rPr>
          <w:rFonts w:eastAsia="宋体" w:hint="eastAsia"/>
          <w:b/>
          <w:bCs/>
        </w:rPr>
        <w:t xml:space="preserve"> for fast SI validation.</w:t>
      </w:r>
    </w:p>
    <w:p w:rsidR="00227E10" w:rsidRDefault="0007296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28"/>
          <w:szCs w:val="28"/>
        </w:rPr>
      </w:pPr>
      <w:bookmarkStart w:id="2" w:name="_GoBack"/>
      <w:bookmarkEnd w:id="2"/>
      <w:r>
        <w:rPr>
          <w:rFonts w:ascii="Arial" w:hAnsi="Arial" w:cs="Arial" w:hint="eastAsia"/>
          <w:b w:val="0"/>
          <w:bCs w:val="0"/>
          <w:kern w:val="0"/>
          <w:sz w:val="28"/>
          <w:szCs w:val="28"/>
        </w:rPr>
        <w:lastRenderedPageBreak/>
        <w:t>Reference</w:t>
      </w:r>
    </w:p>
    <w:p w:rsidR="00227E10" w:rsidRDefault="00072960">
      <w:pPr>
        <w:pStyle w:val="References"/>
        <w:numPr>
          <w:ilvl w:val="0"/>
          <w:numId w:val="6"/>
        </w:numPr>
        <w:spacing w:beforeLines="0" w:before="0" w:afterLines="0" w:after="0" w:line="240" w:lineRule="auto"/>
        <w:jc w:val="left"/>
        <w:rPr>
          <w:szCs w:val="18"/>
          <w:lang w:eastAsia="ja-JP"/>
        </w:rPr>
      </w:pPr>
      <w:r>
        <w:rPr>
          <w:szCs w:val="18"/>
          <w:lang w:eastAsia="ja-JP"/>
        </w:rPr>
        <w:t>RP-201386, ‘Revised SID on Study on support of reduced capability NR devices’, RAN #88e, Ericsson</w:t>
      </w:r>
    </w:p>
    <w:p w:rsidR="00227E10" w:rsidRDefault="00072960">
      <w:pPr>
        <w:pStyle w:val="References"/>
        <w:numPr>
          <w:ilvl w:val="0"/>
          <w:numId w:val="6"/>
        </w:numPr>
        <w:spacing w:beforeLines="0" w:before="0" w:afterLines="0" w:after="0" w:line="240" w:lineRule="auto"/>
        <w:jc w:val="left"/>
        <w:rPr>
          <w:szCs w:val="18"/>
          <w:lang w:eastAsia="ja-JP"/>
        </w:rPr>
      </w:pPr>
      <w:r>
        <w:rPr>
          <w:rFonts w:hint="eastAsia"/>
          <w:szCs w:val="18"/>
        </w:rPr>
        <w:t>TS 36.300</w:t>
      </w:r>
    </w:p>
    <w:p w:rsidR="00227E10" w:rsidRDefault="00072960">
      <w:pPr>
        <w:pStyle w:val="References"/>
        <w:numPr>
          <w:ilvl w:val="0"/>
          <w:numId w:val="6"/>
        </w:numPr>
        <w:spacing w:beforeLines="0" w:before="0" w:afterLines="0" w:after="0" w:line="240" w:lineRule="auto"/>
        <w:jc w:val="left"/>
        <w:rPr>
          <w:szCs w:val="18"/>
          <w:lang w:eastAsia="ja-JP"/>
        </w:rPr>
      </w:pPr>
      <w:r>
        <w:rPr>
          <w:rFonts w:hint="eastAsia"/>
          <w:szCs w:val="18"/>
        </w:rPr>
        <w:t>TS 36.331</w:t>
      </w:r>
    </w:p>
    <w:p w:rsidR="00227E10" w:rsidRDefault="00072960">
      <w:pPr>
        <w:pStyle w:val="References"/>
        <w:numPr>
          <w:ilvl w:val="0"/>
          <w:numId w:val="6"/>
        </w:numPr>
        <w:spacing w:beforeLines="0" w:before="0" w:afterLines="0" w:after="0" w:line="240" w:lineRule="auto"/>
        <w:jc w:val="left"/>
        <w:rPr>
          <w:szCs w:val="18"/>
          <w:lang w:eastAsia="ja-JP"/>
        </w:rPr>
      </w:pPr>
      <w:r>
        <w:rPr>
          <w:rFonts w:hint="eastAsia"/>
          <w:szCs w:val="18"/>
        </w:rPr>
        <w:t>TS 36.304</w:t>
      </w:r>
    </w:p>
    <w:p w:rsidR="00227E10" w:rsidRDefault="00072960">
      <w:pPr>
        <w:pStyle w:val="References"/>
        <w:numPr>
          <w:ilvl w:val="0"/>
          <w:numId w:val="6"/>
        </w:numPr>
        <w:spacing w:beforeLines="0" w:before="0" w:afterLines="0" w:after="0" w:line="240" w:lineRule="auto"/>
        <w:jc w:val="left"/>
        <w:rPr>
          <w:szCs w:val="18"/>
          <w:lang w:eastAsia="ja-JP"/>
        </w:rPr>
      </w:pPr>
      <w:r>
        <w:rPr>
          <w:rFonts w:hint="eastAsia"/>
          <w:szCs w:val="18"/>
        </w:rPr>
        <w:t>TS 38.413</w:t>
      </w:r>
    </w:p>
    <w:p w:rsidR="00227E10" w:rsidRDefault="0007296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28"/>
          <w:szCs w:val="28"/>
        </w:rPr>
      </w:pPr>
      <w:r>
        <w:rPr>
          <w:rFonts w:ascii="Arial" w:hAnsi="Arial" w:cs="Arial" w:hint="eastAsia"/>
          <w:b w:val="0"/>
          <w:bCs w:val="0"/>
          <w:kern w:val="0"/>
          <w:sz w:val="28"/>
          <w:szCs w:val="28"/>
        </w:rPr>
        <w:t>Annex A. PTW formula</w:t>
      </w:r>
    </w:p>
    <w:p w:rsidR="00227E10" w:rsidRDefault="00072960">
      <w:pPr>
        <w:pStyle w:val="EX"/>
        <w:spacing w:line="240" w:lineRule="auto"/>
        <w:ind w:left="285" w:hanging="1"/>
        <w:rPr>
          <w:rFonts w:eastAsia="宋体"/>
          <w:lang w:val="en-US" w:eastAsia="zh-CN"/>
        </w:rPr>
      </w:pPr>
      <w:r>
        <w:rPr>
          <w:rFonts w:eastAsia="宋体" w:hint="eastAsia"/>
          <w:lang w:val="en-US" w:eastAsia="zh-CN"/>
        </w:rPr>
        <w:t>According to 36.304, 7.3:</w:t>
      </w:r>
    </w:p>
    <w:tbl>
      <w:tblPr>
        <w:tblStyle w:val="af5"/>
        <w:tblW w:w="0" w:type="auto"/>
        <w:tblLook w:val="04A0" w:firstRow="1" w:lastRow="0" w:firstColumn="1" w:lastColumn="0" w:noHBand="0" w:noVBand="1"/>
      </w:tblPr>
      <w:tblGrid>
        <w:gridCol w:w="9628"/>
      </w:tblGrid>
      <w:tr w:rsidR="00227E10">
        <w:tc>
          <w:tcPr>
            <w:tcW w:w="9854" w:type="dxa"/>
          </w:tcPr>
          <w:p w:rsidR="00227E10" w:rsidRDefault="00072960">
            <w:pPr>
              <w:pStyle w:val="EX"/>
              <w:spacing w:line="240" w:lineRule="auto"/>
              <w:ind w:left="285" w:hanging="1"/>
            </w:pPr>
            <w:r>
              <w:t>The PH is the H-SFN satisfying the following equation:</w:t>
            </w:r>
          </w:p>
          <w:p w:rsidR="00227E10" w:rsidRDefault="00072960">
            <w:pPr>
              <w:pStyle w:val="B2"/>
              <w:tabs>
                <w:tab w:val="left" w:pos="900"/>
              </w:tabs>
              <w:spacing w:line="240" w:lineRule="auto"/>
            </w:pPr>
            <w:r>
              <w:t>H-SFN mod T</w:t>
            </w:r>
            <w:r>
              <w:rPr>
                <w:vertAlign w:val="subscript"/>
              </w:rPr>
              <w:t>eDRX,H</w:t>
            </w:r>
            <w:r>
              <w:t>= (UE_ID_H mod T</w:t>
            </w:r>
            <w:r>
              <w:rPr>
                <w:vertAlign w:val="subscript"/>
              </w:rPr>
              <w:t>eDRX,H</w:t>
            </w:r>
            <w:r>
              <w:t>), where</w:t>
            </w:r>
          </w:p>
          <w:p w:rsidR="00227E10" w:rsidRDefault="00072960">
            <w:pPr>
              <w:pStyle w:val="B2"/>
              <w:tabs>
                <w:tab w:val="left" w:pos="900"/>
              </w:tabs>
              <w:spacing w:line="240" w:lineRule="auto"/>
            </w:pPr>
            <w:r>
              <w:t>-</w:t>
            </w:r>
            <w:r>
              <w:tab/>
              <w:t>UE_ID_H:</w:t>
            </w:r>
          </w:p>
          <w:p w:rsidR="00227E10" w:rsidRDefault="00072960">
            <w:pPr>
              <w:pStyle w:val="B3"/>
              <w:spacing w:line="240" w:lineRule="auto"/>
              <w:ind w:left="820" w:hanging="400"/>
              <w:rPr>
                <w:lang w:eastAsia="ja-JP"/>
              </w:rPr>
            </w:pPr>
            <w:r>
              <w:rPr>
                <w:lang w:eastAsia="ja-JP"/>
              </w:rPr>
              <w:t>- 10 most significant bits of the Hashed ID, if P-RNTI is monitored on PDCCH or MPDCCH</w:t>
            </w:r>
          </w:p>
          <w:p w:rsidR="00227E10" w:rsidRDefault="00072960">
            <w:pPr>
              <w:pStyle w:val="B3"/>
              <w:spacing w:line="240" w:lineRule="auto"/>
              <w:ind w:left="820" w:hanging="400"/>
            </w:pPr>
            <w:r>
              <w:rPr>
                <w:lang w:eastAsia="ja-JP"/>
              </w:rPr>
              <w:t>- 12 most significant bits of the Hashed ID, if P-RNTI is monitored on NPDCCH</w:t>
            </w:r>
          </w:p>
          <w:p w:rsidR="00227E10" w:rsidRDefault="00072960">
            <w:pPr>
              <w:pStyle w:val="B2"/>
              <w:tabs>
                <w:tab w:val="left" w:pos="900"/>
              </w:tabs>
              <w:spacing w:line="240" w:lineRule="auto"/>
            </w:pPr>
            <w:r>
              <w:t>-</w:t>
            </w:r>
            <w:r>
              <w:tab/>
              <w:t>T</w:t>
            </w:r>
            <w:r>
              <w:rPr>
                <w:vertAlign w:val="subscript"/>
              </w:rPr>
              <w:t xml:space="preserve"> eDRX,H</w:t>
            </w:r>
            <w:r>
              <w:t xml:space="preserve"> : eDRX cycle of the UE in Hyper-frames, (T</w:t>
            </w:r>
            <w:r>
              <w:rPr>
                <w:vertAlign w:val="subscript"/>
              </w:rPr>
              <w:t>eDRX,H</w:t>
            </w:r>
            <w:r>
              <w:t xml:space="preserve"> =1, 2, …, 256 Hyper-frames) (for NB-IoT, T</w:t>
            </w:r>
            <w:r>
              <w:rPr>
                <w:vertAlign w:val="subscript"/>
              </w:rPr>
              <w:t>eDRX,H</w:t>
            </w:r>
            <w:r>
              <w:t xml:space="preserve"> =2, …, 1024 Hyper-frames) and configured by upper layers.</w:t>
            </w:r>
          </w:p>
          <w:p w:rsidR="00227E10" w:rsidRDefault="00072960">
            <w:pPr>
              <w:spacing w:line="240" w:lineRule="auto"/>
              <w:ind w:left="284"/>
              <w:jc w:val="left"/>
            </w:pPr>
            <w:r>
              <w:t>PTW_start denotes the first radio frame of the PH that is part of the PTW and has SFN satisfying the following equation:</w:t>
            </w:r>
          </w:p>
          <w:p w:rsidR="00227E10" w:rsidRDefault="00072960">
            <w:pPr>
              <w:pStyle w:val="B2"/>
              <w:tabs>
                <w:tab w:val="left" w:pos="900"/>
              </w:tabs>
              <w:spacing w:line="240" w:lineRule="auto"/>
            </w:pPr>
            <w:r>
              <w:t>SFN = 256* i</w:t>
            </w:r>
            <w:r>
              <w:rPr>
                <w:vertAlign w:val="subscript"/>
              </w:rPr>
              <w:t>eDRX</w:t>
            </w:r>
            <w:r>
              <w:t>, where</w:t>
            </w:r>
          </w:p>
          <w:p w:rsidR="00227E10" w:rsidRDefault="00072960">
            <w:pPr>
              <w:pStyle w:val="B2"/>
              <w:tabs>
                <w:tab w:val="left" w:pos="900"/>
              </w:tabs>
              <w:spacing w:line="240" w:lineRule="auto"/>
            </w:pPr>
            <w:r>
              <w:t>-</w:t>
            </w:r>
            <w:r>
              <w:tab/>
              <w:t>i</w:t>
            </w:r>
            <w:r>
              <w:rPr>
                <w:vertAlign w:val="subscript"/>
              </w:rPr>
              <w:t>eDRX</w:t>
            </w:r>
            <w:r>
              <w:t xml:space="preserve"> = floor(UE_ID_H /T</w:t>
            </w:r>
            <w:r>
              <w:rPr>
                <w:vertAlign w:val="subscript"/>
              </w:rPr>
              <w:t>eDRX,H</w:t>
            </w:r>
            <w:r>
              <w:t>) mod 4</w:t>
            </w:r>
          </w:p>
          <w:p w:rsidR="00227E10" w:rsidRDefault="00072960">
            <w:pPr>
              <w:spacing w:line="240" w:lineRule="auto"/>
              <w:ind w:firstLine="284"/>
              <w:jc w:val="left"/>
            </w:pPr>
            <w:r>
              <w:t>PTW_end is the last radio frame of the PTW and has SFN satisfying the following equation:</w:t>
            </w:r>
          </w:p>
          <w:p w:rsidR="00227E10" w:rsidRDefault="00072960">
            <w:pPr>
              <w:pStyle w:val="B2"/>
              <w:tabs>
                <w:tab w:val="left" w:pos="900"/>
              </w:tabs>
              <w:spacing w:line="240" w:lineRule="auto"/>
            </w:pPr>
            <w:r>
              <w:t>SFN = (PTW_start + L*100 - 1) mod 1024, where</w:t>
            </w:r>
          </w:p>
          <w:p w:rsidR="00227E10" w:rsidRDefault="00072960">
            <w:pPr>
              <w:pStyle w:val="B2"/>
              <w:tabs>
                <w:tab w:val="left" w:pos="900"/>
              </w:tabs>
              <w:spacing w:line="240" w:lineRule="auto"/>
            </w:pPr>
            <w:r>
              <w:t>-</w:t>
            </w:r>
            <w:r>
              <w:tab/>
              <w:t>L = Paging Time Window length (in seconds) configured by upper layers</w:t>
            </w:r>
          </w:p>
          <w:p w:rsidR="00227E10" w:rsidRDefault="00072960">
            <w:pPr>
              <w:spacing w:line="240" w:lineRule="auto"/>
              <w:ind w:firstLine="284"/>
              <w:jc w:val="left"/>
            </w:pPr>
            <w:r>
              <w:t>Hashed ID is defined as follows:</w:t>
            </w:r>
          </w:p>
          <w:p w:rsidR="00227E10" w:rsidRDefault="00072960">
            <w:pPr>
              <w:spacing w:line="240" w:lineRule="auto"/>
              <w:ind w:left="284"/>
              <w:jc w:val="left"/>
              <w:rPr>
                <w:lang w:eastAsia="ja-JP"/>
              </w:rPr>
            </w:pPr>
            <w:r>
              <w:rPr>
                <w:lang w:eastAsia="ja-JP"/>
              </w:rPr>
              <w:t>Hashed_ID is Frame Check Sequence (FCS) for the bits b31, b30…, b0 of S-TMSI or 5G-S-TMSI. 5G-S-TMSI is used for Hashed-ID if the UE supports connection to 5GC and NAS indicated to use 5GC for the selected cell.</w:t>
            </w:r>
          </w:p>
          <w:p w:rsidR="00227E10" w:rsidRDefault="00072960">
            <w:pPr>
              <w:spacing w:line="240" w:lineRule="auto"/>
              <w:ind w:left="284"/>
              <w:jc w:val="left"/>
              <w:rPr>
                <w:lang w:eastAsia="ja-JP"/>
              </w:rPr>
            </w:pPr>
            <w:r>
              <w:rPr>
                <w:lang w:eastAsia="ja-JP"/>
              </w:rPr>
              <w:t>S-TMSI = &lt;b39, b38, …, b0&gt; as defined in TS 23.003 [35]</w:t>
            </w:r>
          </w:p>
          <w:p w:rsidR="00227E10" w:rsidRDefault="00072960">
            <w:pPr>
              <w:spacing w:line="240" w:lineRule="auto"/>
              <w:ind w:left="284"/>
              <w:jc w:val="left"/>
              <w:rPr>
                <w:lang w:eastAsia="ja-JP"/>
              </w:rPr>
            </w:pPr>
            <w:r>
              <w:rPr>
                <w:lang w:eastAsia="ja-JP"/>
              </w:rPr>
              <w:t>5G-S-TMSI = &lt;b47, b46, …, b0&gt; as defined in TS 23.003 [35].</w:t>
            </w:r>
          </w:p>
          <w:p w:rsidR="00227E10" w:rsidRDefault="00072960">
            <w:pPr>
              <w:spacing w:line="240" w:lineRule="auto"/>
              <w:ind w:left="284"/>
              <w:jc w:val="left"/>
              <w:rPr>
                <w:lang w:eastAsia="ja-JP"/>
              </w:rPr>
            </w:pPr>
            <w:r>
              <w:rPr>
                <w:lang w:eastAsia="ja-JP"/>
              </w:rPr>
              <w:t>The 32-bit FCS shall be the ones complement of the sum (modulo 2) of Y1 and Y2, where</w:t>
            </w:r>
          </w:p>
          <w:p w:rsidR="00227E10" w:rsidRDefault="00072960">
            <w:pPr>
              <w:pStyle w:val="B2"/>
              <w:spacing w:line="240" w:lineRule="auto"/>
            </w:pPr>
            <w:r>
              <w:t>-</w:t>
            </w:r>
            <w:r>
              <w:tab/>
              <w:t>Y1 is the remainder of x</w:t>
            </w:r>
            <w:r>
              <w:rPr>
                <w:vertAlign w:val="superscript"/>
              </w:rPr>
              <w:t>k</w:t>
            </w:r>
            <w:r>
              <w:t xml:space="preserve"> (x</w:t>
            </w:r>
            <w:r>
              <w:rPr>
                <w:vertAlign w:val="superscript"/>
              </w:rPr>
              <w:t>31</w:t>
            </w:r>
            <w:r>
              <w:t xml:space="preserve"> + x</w:t>
            </w:r>
            <w:r>
              <w:rPr>
                <w:vertAlign w:val="superscript"/>
              </w:rPr>
              <w:t>30</w:t>
            </w:r>
            <w:r>
              <w:t xml:space="preserve"> + x</w:t>
            </w:r>
            <w:r>
              <w:rPr>
                <w:vertAlign w:val="superscript"/>
              </w:rPr>
              <w:t>29</w:t>
            </w:r>
            <w:r>
              <w:t xml:space="preserve"> + x</w:t>
            </w:r>
            <w:r>
              <w:rPr>
                <w:vertAlign w:val="superscript"/>
              </w:rPr>
              <w:t>28</w:t>
            </w:r>
            <w:r>
              <w:t xml:space="preserve"> + x</w:t>
            </w:r>
            <w:r>
              <w:rPr>
                <w:vertAlign w:val="superscript"/>
              </w:rPr>
              <w:t>27</w:t>
            </w:r>
            <w:r>
              <w:t xml:space="preserve"> + x</w:t>
            </w:r>
            <w:r>
              <w:rPr>
                <w:vertAlign w:val="superscript"/>
              </w:rPr>
              <w:t>26</w:t>
            </w:r>
            <w:r>
              <w:t xml:space="preserve"> + x</w:t>
            </w:r>
            <w:r>
              <w:rPr>
                <w:vertAlign w:val="superscript"/>
              </w:rPr>
              <w:t>25</w:t>
            </w:r>
            <w:r>
              <w:t xml:space="preserve"> + x</w:t>
            </w:r>
            <w:r>
              <w:rPr>
                <w:vertAlign w:val="superscript"/>
              </w:rPr>
              <w:t>24</w:t>
            </w:r>
            <w:r>
              <w:t xml:space="preserve"> + x</w:t>
            </w:r>
            <w:r>
              <w:rPr>
                <w:vertAlign w:val="superscript"/>
              </w:rPr>
              <w:t>23</w:t>
            </w:r>
            <w:r>
              <w:t xml:space="preserve"> + x</w:t>
            </w:r>
            <w:r>
              <w:rPr>
                <w:vertAlign w:val="superscript"/>
              </w:rPr>
              <w:t>22</w:t>
            </w:r>
            <w:r>
              <w:t xml:space="preserve"> + x</w:t>
            </w:r>
            <w:r>
              <w:rPr>
                <w:vertAlign w:val="superscript"/>
              </w:rPr>
              <w:t>21</w:t>
            </w:r>
            <w:r>
              <w:t xml:space="preserve"> + x</w:t>
            </w:r>
            <w:r>
              <w:rPr>
                <w:vertAlign w:val="superscript"/>
              </w:rPr>
              <w:t>20</w:t>
            </w:r>
            <w:r>
              <w:t xml:space="preserve"> + x</w:t>
            </w:r>
            <w:r>
              <w:rPr>
                <w:vertAlign w:val="superscript"/>
              </w:rPr>
              <w:t>19</w:t>
            </w:r>
            <w:r>
              <w:t xml:space="preserve"> + x</w:t>
            </w:r>
            <w:r>
              <w:rPr>
                <w:vertAlign w:val="superscript"/>
              </w:rPr>
              <w:t>18</w:t>
            </w:r>
            <w:r>
              <w:t xml:space="preserve"> + x</w:t>
            </w:r>
            <w:r>
              <w:rPr>
                <w:vertAlign w:val="superscript"/>
              </w:rPr>
              <w:t>17</w:t>
            </w:r>
            <w:r>
              <w:t xml:space="preserve"> + x</w:t>
            </w:r>
            <w:r>
              <w:rPr>
                <w:vertAlign w:val="superscript"/>
              </w:rPr>
              <w:t xml:space="preserve">16 </w:t>
            </w:r>
            <w:r>
              <w:t>+ x</w:t>
            </w:r>
            <w:r>
              <w:rPr>
                <w:vertAlign w:val="superscript"/>
              </w:rPr>
              <w:t>15</w:t>
            </w:r>
            <w:r>
              <w:t xml:space="preserve"> + x</w:t>
            </w:r>
            <w:r>
              <w:rPr>
                <w:vertAlign w:val="superscript"/>
              </w:rPr>
              <w:t>14</w:t>
            </w:r>
            <w:r>
              <w:t xml:space="preserve"> + x</w:t>
            </w:r>
            <w:r>
              <w:rPr>
                <w:vertAlign w:val="superscript"/>
              </w:rPr>
              <w:t>13</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9</w:t>
            </w:r>
            <w:r>
              <w:t xml:space="preserve"> + x</w:t>
            </w:r>
            <w:r>
              <w:rPr>
                <w:vertAlign w:val="superscript"/>
              </w:rPr>
              <w:t>8</w:t>
            </w:r>
            <w:r>
              <w:t xml:space="preserve"> + x</w:t>
            </w:r>
            <w:r>
              <w:rPr>
                <w:vertAlign w:val="superscript"/>
              </w:rPr>
              <w:t>7</w:t>
            </w:r>
            <w:r>
              <w:t xml:space="preserve"> + x</w:t>
            </w:r>
            <w:r>
              <w:rPr>
                <w:vertAlign w:val="superscript"/>
              </w:rPr>
              <w:t>6</w:t>
            </w:r>
            <w:r>
              <w:t xml:space="preserve"> + x</w:t>
            </w:r>
            <w:r>
              <w:rPr>
                <w:vertAlign w:val="superscript"/>
              </w:rPr>
              <w:t>5</w:t>
            </w:r>
            <w:r>
              <w:t xml:space="preserve"> + x</w:t>
            </w:r>
            <w:r>
              <w:rPr>
                <w:vertAlign w:val="superscript"/>
              </w:rPr>
              <w:t>4</w:t>
            </w:r>
            <w:r>
              <w:t xml:space="preserve"> + x</w:t>
            </w:r>
            <w:r>
              <w:rPr>
                <w:vertAlign w:val="superscript"/>
              </w:rPr>
              <w:t>3</w:t>
            </w:r>
            <w:r>
              <w:t xml:space="preserve"> + x</w:t>
            </w:r>
            <w:r>
              <w:rPr>
                <w:vertAlign w:val="superscript"/>
              </w:rPr>
              <w:t>2</w:t>
            </w:r>
            <w:r>
              <w:t xml:space="preserve"> + x</w:t>
            </w:r>
            <w:r>
              <w:rPr>
                <w:vertAlign w:val="superscript"/>
              </w:rPr>
              <w:t>1</w:t>
            </w:r>
            <w:r>
              <w:t xml:space="preserve"> + 1) divided (modulo 2) </w:t>
            </w:r>
            <w:r>
              <w:lastRenderedPageBreak/>
              <w:t>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k is 32; and</w:t>
            </w:r>
          </w:p>
          <w:p w:rsidR="00227E10" w:rsidRDefault="00072960">
            <w:pPr>
              <w:pStyle w:val="B2"/>
              <w:spacing w:line="240" w:lineRule="auto"/>
            </w:pPr>
            <w:r>
              <w:t>-</w:t>
            </w:r>
            <w:r>
              <w:tab/>
              <w:t>Y2 is the remainder of Y3 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Y3 is the product of x</w:t>
            </w:r>
            <w:r>
              <w:rPr>
                <w:vertAlign w:val="superscript"/>
              </w:rPr>
              <w:t>32</w:t>
            </w:r>
            <w:r>
              <w:t xml:space="preserve"> by "b31, b30…, b0 of S-TMSI or 5G-S-TMSI", i.e., Y3 is the generator polynomial x</w:t>
            </w:r>
            <w:r>
              <w:rPr>
                <w:vertAlign w:val="superscript"/>
              </w:rPr>
              <w:t>32</w:t>
            </w:r>
            <w:r>
              <w:t xml:space="preserve"> (b31*x</w:t>
            </w:r>
            <w:r>
              <w:rPr>
                <w:vertAlign w:val="superscript"/>
              </w:rPr>
              <w:t>31</w:t>
            </w:r>
            <w:r>
              <w:t xml:space="preserve"> + b30*x</w:t>
            </w:r>
            <w:r>
              <w:rPr>
                <w:vertAlign w:val="superscript"/>
              </w:rPr>
              <w:t>30</w:t>
            </w:r>
            <w:r>
              <w:t xml:space="preserve"> + … + b0*1).</w:t>
            </w:r>
          </w:p>
          <w:p w:rsidR="00227E10" w:rsidRDefault="00072960">
            <w:pPr>
              <w:pStyle w:val="NO"/>
              <w:spacing w:line="240" w:lineRule="auto"/>
              <w:rPr>
                <w:rFonts w:eastAsia="宋体"/>
                <w:lang w:val="en-US" w:eastAsia="zh-CN"/>
              </w:rPr>
            </w:pPr>
            <w:r>
              <w:t>NOTE:</w:t>
            </w:r>
            <w:r>
              <w:tab/>
              <w:t>The Y1 is 0xC704DD7B for any S-TMSI or 5G-S-TMSI value. An example of hashed ID calculation is in Annex B.</w:t>
            </w:r>
          </w:p>
        </w:tc>
      </w:tr>
    </w:tbl>
    <w:p w:rsidR="00227E10" w:rsidRDefault="00227E10">
      <w:pPr>
        <w:pStyle w:val="EX"/>
        <w:spacing w:line="240" w:lineRule="auto"/>
        <w:ind w:left="285" w:hanging="1"/>
        <w:rPr>
          <w:rFonts w:eastAsia="宋体"/>
          <w:lang w:val="en-US" w:eastAsia="zh-CN"/>
        </w:rPr>
      </w:pPr>
    </w:p>
    <w:sectPr w:rsidR="00227E10">
      <w:headerReference w:type="even" r:id="rId8"/>
      <w:headerReference w:type="default" r:id="rId9"/>
      <w:footerReference w:type="even" r:id="rId10"/>
      <w:footerReference w:type="default" r:id="rId11"/>
      <w:headerReference w:type="first" r:id="rId12"/>
      <w:footerReference w:type="first" r:id="rId13"/>
      <w:pgSz w:w="11906" w:h="16838"/>
      <w:pgMar w:top="1416" w:right="1134" w:bottom="1133"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2FEF" w:rsidRDefault="00BC2FEF">
      <w:pPr>
        <w:spacing w:after="0" w:line="240" w:lineRule="auto"/>
      </w:pPr>
      <w:r>
        <w:separator/>
      </w:r>
    </w:p>
  </w:endnote>
  <w:endnote w:type="continuationSeparator" w:id="0">
    <w:p w:rsidR="00BC2FEF" w:rsidRDefault="00BC2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3A0C" w:rsidRDefault="008E3A0C">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E10" w:rsidRDefault="00227E10">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3A0C" w:rsidRDefault="008E3A0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2FEF" w:rsidRDefault="00BC2FEF">
      <w:pPr>
        <w:spacing w:after="0" w:line="240" w:lineRule="auto"/>
      </w:pPr>
      <w:r>
        <w:separator/>
      </w:r>
    </w:p>
  </w:footnote>
  <w:footnote w:type="continuationSeparator" w:id="0">
    <w:p w:rsidR="00BC2FEF" w:rsidRDefault="00BC2F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3A0C" w:rsidRDefault="008E3A0C">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E10" w:rsidRDefault="00227E10">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3A0C" w:rsidRDefault="008E3A0C">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120218D"/>
    <w:multiLevelType w:val="multilevel"/>
    <w:tmpl w:val="1120218D"/>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CB44A95"/>
    <w:multiLevelType w:val="multilevel"/>
    <w:tmpl w:val="1CB44A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437641BF"/>
    <w:multiLevelType w:val="hybridMultilevel"/>
    <w:tmpl w:val="ED3CBBC6"/>
    <w:lvl w:ilvl="0" w:tplc="21B81AC4">
      <w:start w:val="8"/>
      <w:numFmt w:val="bullet"/>
      <w:lvlText w:val="-"/>
      <w:lvlJc w:val="left"/>
      <w:pPr>
        <w:ind w:left="1780" w:hanging="360"/>
      </w:pPr>
      <w:rPr>
        <w:rFonts w:ascii="Times New Roman" w:eastAsia="Times New Roman"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6"/>
  </w:num>
  <w:num w:numId="3">
    <w:abstractNumId w:val="1"/>
  </w:num>
  <w:num w:numId="4">
    <w:abstractNumId w:val="2"/>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4"/>
  <w:doNotDisplayPageBoundaries/>
  <w:defaultTabStop w:val="420"/>
  <w:hyphenationZone w:val="283"/>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BD2BE9A2"/>
    <w:rsid w:val="CFDDDB78"/>
    <w:rsid w:val="CFFC4E13"/>
    <w:rsid w:val="DEFF3BF3"/>
    <w:rsid w:val="DFB458C3"/>
    <w:rsid w:val="DFCAB2A5"/>
    <w:rsid w:val="EC6B184E"/>
    <w:rsid w:val="ED7ECECB"/>
    <w:rsid w:val="EDDFB31B"/>
    <w:rsid w:val="EEBFC55B"/>
    <w:rsid w:val="EFFADFDF"/>
    <w:rsid w:val="F9FF7F5A"/>
    <w:rsid w:val="FBF3CBD0"/>
    <w:rsid w:val="FBFAC7CA"/>
    <w:rsid w:val="FBFC6F67"/>
    <w:rsid w:val="FDFECC9E"/>
    <w:rsid w:val="FF6FDB4A"/>
    <w:rsid w:val="FFF7E16D"/>
    <w:rsid w:val="FFFD6BBF"/>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4CE"/>
    <w:rsid w:val="00046E3D"/>
    <w:rsid w:val="000563ED"/>
    <w:rsid w:val="000603D6"/>
    <w:rsid w:val="0006336D"/>
    <w:rsid w:val="00067927"/>
    <w:rsid w:val="0007093A"/>
    <w:rsid w:val="0007205B"/>
    <w:rsid w:val="00072960"/>
    <w:rsid w:val="00073BCE"/>
    <w:rsid w:val="000755A8"/>
    <w:rsid w:val="00076B12"/>
    <w:rsid w:val="000804D4"/>
    <w:rsid w:val="0008122E"/>
    <w:rsid w:val="00082CAA"/>
    <w:rsid w:val="00084609"/>
    <w:rsid w:val="000875C4"/>
    <w:rsid w:val="0009084A"/>
    <w:rsid w:val="000915A4"/>
    <w:rsid w:val="0009278C"/>
    <w:rsid w:val="00092939"/>
    <w:rsid w:val="00095E3C"/>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6A56"/>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67050"/>
    <w:rsid w:val="00170C6A"/>
    <w:rsid w:val="00171FF9"/>
    <w:rsid w:val="0017245C"/>
    <w:rsid w:val="0017511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0659"/>
    <w:rsid w:val="001B21A1"/>
    <w:rsid w:val="001B337C"/>
    <w:rsid w:val="001B5AE5"/>
    <w:rsid w:val="001B6518"/>
    <w:rsid w:val="001B7027"/>
    <w:rsid w:val="001B7C67"/>
    <w:rsid w:val="001C043D"/>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1F6DA4"/>
    <w:rsid w:val="00201CDE"/>
    <w:rsid w:val="00201FFE"/>
    <w:rsid w:val="00202C4B"/>
    <w:rsid w:val="00203502"/>
    <w:rsid w:val="00203B88"/>
    <w:rsid w:val="002052A2"/>
    <w:rsid w:val="00206380"/>
    <w:rsid w:val="002155FA"/>
    <w:rsid w:val="002176DE"/>
    <w:rsid w:val="00223B64"/>
    <w:rsid w:val="002243A2"/>
    <w:rsid w:val="00227D4F"/>
    <w:rsid w:val="00227E10"/>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2315"/>
    <w:rsid w:val="003B238C"/>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39CF"/>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95526"/>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27E7B"/>
    <w:rsid w:val="00534869"/>
    <w:rsid w:val="00534D8E"/>
    <w:rsid w:val="0053653D"/>
    <w:rsid w:val="005371D2"/>
    <w:rsid w:val="00537528"/>
    <w:rsid w:val="00542ED7"/>
    <w:rsid w:val="00545A76"/>
    <w:rsid w:val="005506C7"/>
    <w:rsid w:val="005514AA"/>
    <w:rsid w:val="00552499"/>
    <w:rsid w:val="00553234"/>
    <w:rsid w:val="0055402E"/>
    <w:rsid w:val="0055689F"/>
    <w:rsid w:val="00561349"/>
    <w:rsid w:val="005657FC"/>
    <w:rsid w:val="00567054"/>
    <w:rsid w:val="00567A9A"/>
    <w:rsid w:val="00570FEC"/>
    <w:rsid w:val="00571A8C"/>
    <w:rsid w:val="0057377D"/>
    <w:rsid w:val="00585E04"/>
    <w:rsid w:val="005910DD"/>
    <w:rsid w:val="005940C1"/>
    <w:rsid w:val="005952F9"/>
    <w:rsid w:val="0059566C"/>
    <w:rsid w:val="0059585E"/>
    <w:rsid w:val="005A3156"/>
    <w:rsid w:val="005A53DF"/>
    <w:rsid w:val="005A6185"/>
    <w:rsid w:val="005B052E"/>
    <w:rsid w:val="005B220B"/>
    <w:rsid w:val="005B2E19"/>
    <w:rsid w:val="005B66D2"/>
    <w:rsid w:val="005B7842"/>
    <w:rsid w:val="005C1AC7"/>
    <w:rsid w:val="005C20A4"/>
    <w:rsid w:val="005C2356"/>
    <w:rsid w:val="005C2BE2"/>
    <w:rsid w:val="005C4B1B"/>
    <w:rsid w:val="005D57F1"/>
    <w:rsid w:val="005D680C"/>
    <w:rsid w:val="005E06D3"/>
    <w:rsid w:val="005E27C0"/>
    <w:rsid w:val="005E2CE1"/>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0A"/>
    <w:rsid w:val="006413AD"/>
    <w:rsid w:val="00643A7A"/>
    <w:rsid w:val="0064545A"/>
    <w:rsid w:val="00646B3F"/>
    <w:rsid w:val="006503F8"/>
    <w:rsid w:val="00650D0F"/>
    <w:rsid w:val="00651856"/>
    <w:rsid w:val="006521E7"/>
    <w:rsid w:val="0065579F"/>
    <w:rsid w:val="00657FD0"/>
    <w:rsid w:val="00661CDB"/>
    <w:rsid w:val="00670351"/>
    <w:rsid w:val="006706AA"/>
    <w:rsid w:val="006718B7"/>
    <w:rsid w:val="00673154"/>
    <w:rsid w:val="006746B2"/>
    <w:rsid w:val="0067540D"/>
    <w:rsid w:val="0068365D"/>
    <w:rsid w:val="0068430C"/>
    <w:rsid w:val="0068477C"/>
    <w:rsid w:val="00685237"/>
    <w:rsid w:val="00690BB8"/>
    <w:rsid w:val="0069144C"/>
    <w:rsid w:val="0069161A"/>
    <w:rsid w:val="0069189C"/>
    <w:rsid w:val="00691E28"/>
    <w:rsid w:val="006954BD"/>
    <w:rsid w:val="006978B2"/>
    <w:rsid w:val="00697DD7"/>
    <w:rsid w:val="006A451F"/>
    <w:rsid w:val="006A539D"/>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3A4B"/>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49F"/>
    <w:rsid w:val="00765D32"/>
    <w:rsid w:val="007705A1"/>
    <w:rsid w:val="007709C5"/>
    <w:rsid w:val="00770F43"/>
    <w:rsid w:val="00771468"/>
    <w:rsid w:val="007719AC"/>
    <w:rsid w:val="00772903"/>
    <w:rsid w:val="00773686"/>
    <w:rsid w:val="00776AD0"/>
    <w:rsid w:val="00780871"/>
    <w:rsid w:val="00787A57"/>
    <w:rsid w:val="00787B7D"/>
    <w:rsid w:val="00792D48"/>
    <w:rsid w:val="00793203"/>
    <w:rsid w:val="00794677"/>
    <w:rsid w:val="00795931"/>
    <w:rsid w:val="00796A2A"/>
    <w:rsid w:val="007A053E"/>
    <w:rsid w:val="007A24D0"/>
    <w:rsid w:val="007A2A69"/>
    <w:rsid w:val="007A6821"/>
    <w:rsid w:val="007B055F"/>
    <w:rsid w:val="007B05C6"/>
    <w:rsid w:val="007B0BAC"/>
    <w:rsid w:val="007B3EE9"/>
    <w:rsid w:val="007B4B41"/>
    <w:rsid w:val="007B6028"/>
    <w:rsid w:val="007C0BA7"/>
    <w:rsid w:val="007C33E4"/>
    <w:rsid w:val="007C41B3"/>
    <w:rsid w:val="007C44F4"/>
    <w:rsid w:val="007D2587"/>
    <w:rsid w:val="007D3298"/>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5F1D"/>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6762"/>
    <w:rsid w:val="008B725C"/>
    <w:rsid w:val="008C1D6D"/>
    <w:rsid w:val="008C3F98"/>
    <w:rsid w:val="008C4502"/>
    <w:rsid w:val="008C594A"/>
    <w:rsid w:val="008D1DAC"/>
    <w:rsid w:val="008D23AF"/>
    <w:rsid w:val="008D3A05"/>
    <w:rsid w:val="008D3E0C"/>
    <w:rsid w:val="008D681A"/>
    <w:rsid w:val="008D6B1A"/>
    <w:rsid w:val="008D6D38"/>
    <w:rsid w:val="008E0617"/>
    <w:rsid w:val="008E3A0C"/>
    <w:rsid w:val="008E5A4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1173"/>
    <w:rsid w:val="009432FE"/>
    <w:rsid w:val="009438F8"/>
    <w:rsid w:val="00944414"/>
    <w:rsid w:val="00945FA9"/>
    <w:rsid w:val="0094691D"/>
    <w:rsid w:val="00952618"/>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1B15"/>
    <w:rsid w:val="009D2A16"/>
    <w:rsid w:val="009D6952"/>
    <w:rsid w:val="009D704E"/>
    <w:rsid w:val="009D7F9A"/>
    <w:rsid w:val="009E068F"/>
    <w:rsid w:val="009E1B89"/>
    <w:rsid w:val="009E56AF"/>
    <w:rsid w:val="009E619C"/>
    <w:rsid w:val="009E7020"/>
    <w:rsid w:val="009E7045"/>
    <w:rsid w:val="009E748B"/>
    <w:rsid w:val="009F2244"/>
    <w:rsid w:val="009F3D12"/>
    <w:rsid w:val="00A00BE1"/>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85709"/>
    <w:rsid w:val="00A87A30"/>
    <w:rsid w:val="00A87EF7"/>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001"/>
    <w:rsid w:val="00AC4276"/>
    <w:rsid w:val="00AC464D"/>
    <w:rsid w:val="00AC51E8"/>
    <w:rsid w:val="00AC57DE"/>
    <w:rsid w:val="00AC698C"/>
    <w:rsid w:val="00AD0CA9"/>
    <w:rsid w:val="00AD1C5F"/>
    <w:rsid w:val="00AD2407"/>
    <w:rsid w:val="00AD2F9B"/>
    <w:rsid w:val="00AD62D8"/>
    <w:rsid w:val="00AE1D7A"/>
    <w:rsid w:val="00AE244B"/>
    <w:rsid w:val="00AE5146"/>
    <w:rsid w:val="00AE55C5"/>
    <w:rsid w:val="00AE5A4F"/>
    <w:rsid w:val="00AE7B16"/>
    <w:rsid w:val="00AF0B65"/>
    <w:rsid w:val="00AF6173"/>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3ABA"/>
    <w:rsid w:val="00BB4FEC"/>
    <w:rsid w:val="00BB65B1"/>
    <w:rsid w:val="00BB69D5"/>
    <w:rsid w:val="00BC03E1"/>
    <w:rsid w:val="00BC2FEF"/>
    <w:rsid w:val="00BC4593"/>
    <w:rsid w:val="00BD05BF"/>
    <w:rsid w:val="00BD464A"/>
    <w:rsid w:val="00BD6CFB"/>
    <w:rsid w:val="00BE28BE"/>
    <w:rsid w:val="00BE2902"/>
    <w:rsid w:val="00BE2D88"/>
    <w:rsid w:val="00BE38A5"/>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6E27"/>
    <w:rsid w:val="00C172FB"/>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0968"/>
    <w:rsid w:val="00C5180C"/>
    <w:rsid w:val="00C52111"/>
    <w:rsid w:val="00C523E4"/>
    <w:rsid w:val="00C531B7"/>
    <w:rsid w:val="00C53622"/>
    <w:rsid w:val="00C54982"/>
    <w:rsid w:val="00C54B46"/>
    <w:rsid w:val="00C55B71"/>
    <w:rsid w:val="00C56DB9"/>
    <w:rsid w:val="00C621A1"/>
    <w:rsid w:val="00C62434"/>
    <w:rsid w:val="00C63153"/>
    <w:rsid w:val="00C63CB8"/>
    <w:rsid w:val="00C65327"/>
    <w:rsid w:val="00C65768"/>
    <w:rsid w:val="00C67235"/>
    <w:rsid w:val="00C67382"/>
    <w:rsid w:val="00C70488"/>
    <w:rsid w:val="00C72471"/>
    <w:rsid w:val="00C72B4C"/>
    <w:rsid w:val="00C8086B"/>
    <w:rsid w:val="00C82D97"/>
    <w:rsid w:val="00C84D14"/>
    <w:rsid w:val="00C8731F"/>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3799"/>
    <w:rsid w:val="00CC58C3"/>
    <w:rsid w:val="00CD229F"/>
    <w:rsid w:val="00CE147E"/>
    <w:rsid w:val="00CE2D1F"/>
    <w:rsid w:val="00CE52F0"/>
    <w:rsid w:val="00CE5BD9"/>
    <w:rsid w:val="00CE6DD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24"/>
    <w:rsid w:val="00D52834"/>
    <w:rsid w:val="00D544FE"/>
    <w:rsid w:val="00D5596F"/>
    <w:rsid w:val="00D56F3F"/>
    <w:rsid w:val="00D6103B"/>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026"/>
    <w:rsid w:val="00D90CC5"/>
    <w:rsid w:val="00D92C6A"/>
    <w:rsid w:val="00D95330"/>
    <w:rsid w:val="00DA12AB"/>
    <w:rsid w:val="00DA7973"/>
    <w:rsid w:val="00DB3689"/>
    <w:rsid w:val="00DB3767"/>
    <w:rsid w:val="00DB39E0"/>
    <w:rsid w:val="00DB7729"/>
    <w:rsid w:val="00DC0030"/>
    <w:rsid w:val="00DC22BE"/>
    <w:rsid w:val="00DC5F62"/>
    <w:rsid w:val="00DC7FAF"/>
    <w:rsid w:val="00DD02BA"/>
    <w:rsid w:val="00DD100B"/>
    <w:rsid w:val="00DD42F9"/>
    <w:rsid w:val="00DE02DD"/>
    <w:rsid w:val="00DE084C"/>
    <w:rsid w:val="00DE1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022F"/>
    <w:rsid w:val="00E25DCB"/>
    <w:rsid w:val="00E27FC2"/>
    <w:rsid w:val="00E31912"/>
    <w:rsid w:val="00E31B60"/>
    <w:rsid w:val="00E3289F"/>
    <w:rsid w:val="00E34D88"/>
    <w:rsid w:val="00E353DB"/>
    <w:rsid w:val="00E36375"/>
    <w:rsid w:val="00E37C78"/>
    <w:rsid w:val="00E40D48"/>
    <w:rsid w:val="00E40DBF"/>
    <w:rsid w:val="00E42C98"/>
    <w:rsid w:val="00E43798"/>
    <w:rsid w:val="00E43842"/>
    <w:rsid w:val="00E468CA"/>
    <w:rsid w:val="00E47CAE"/>
    <w:rsid w:val="00E47D3F"/>
    <w:rsid w:val="00E521EE"/>
    <w:rsid w:val="00E56C70"/>
    <w:rsid w:val="00E62B3D"/>
    <w:rsid w:val="00E6315A"/>
    <w:rsid w:val="00E63986"/>
    <w:rsid w:val="00E65554"/>
    <w:rsid w:val="00E65E86"/>
    <w:rsid w:val="00E66C3B"/>
    <w:rsid w:val="00E70F61"/>
    <w:rsid w:val="00E71B00"/>
    <w:rsid w:val="00E73C7F"/>
    <w:rsid w:val="00E740D9"/>
    <w:rsid w:val="00E8224F"/>
    <w:rsid w:val="00E832E5"/>
    <w:rsid w:val="00E84809"/>
    <w:rsid w:val="00E853FB"/>
    <w:rsid w:val="00E85E3C"/>
    <w:rsid w:val="00E87D09"/>
    <w:rsid w:val="00E87D8B"/>
    <w:rsid w:val="00E943EE"/>
    <w:rsid w:val="00E9737A"/>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B7D04"/>
    <w:rsid w:val="00EC19D6"/>
    <w:rsid w:val="00EC1D1E"/>
    <w:rsid w:val="00EC201F"/>
    <w:rsid w:val="00EC40E3"/>
    <w:rsid w:val="00EC465B"/>
    <w:rsid w:val="00EC5A04"/>
    <w:rsid w:val="00EC7810"/>
    <w:rsid w:val="00EC7D8F"/>
    <w:rsid w:val="00EC7E1A"/>
    <w:rsid w:val="00ED09F7"/>
    <w:rsid w:val="00ED0F55"/>
    <w:rsid w:val="00ED15C7"/>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05C3D"/>
    <w:rsid w:val="00F12DA8"/>
    <w:rsid w:val="00F1322B"/>
    <w:rsid w:val="00F13699"/>
    <w:rsid w:val="00F16341"/>
    <w:rsid w:val="00F16AB3"/>
    <w:rsid w:val="00F1707D"/>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461"/>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5FD"/>
    <w:rsid w:val="00F956DB"/>
    <w:rsid w:val="00F96BAD"/>
    <w:rsid w:val="00FA34B5"/>
    <w:rsid w:val="00FB0158"/>
    <w:rsid w:val="00FB06CF"/>
    <w:rsid w:val="00FB16BC"/>
    <w:rsid w:val="00FB25A0"/>
    <w:rsid w:val="00FB2B68"/>
    <w:rsid w:val="00FB2D7C"/>
    <w:rsid w:val="00FB4F37"/>
    <w:rsid w:val="00FB79F1"/>
    <w:rsid w:val="00FB7E5A"/>
    <w:rsid w:val="00FC2A39"/>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1197935"/>
    <w:rsid w:val="0125053D"/>
    <w:rsid w:val="01304D4E"/>
    <w:rsid w:val="01380404"/>
    <w:rsid w:val="014720D7"/>
    <w:rsid w:val="016429DB"/>
    <w:rsid w:val="01720BE7"/>
    <w:rsid w:val="017A54C1"/>
    <w:rsid w:val="017B3921"/>
    <w:rsid w:val="01884E40"/>
    <w:rsid w:val="019D5AF5"/>
    <w:rsid w:val="01A30E9F"/>
    <w:rsid w:val="01A97168"/>
    <w:rsid w:val="01AB7FE5"/>
    <w:rsid w:val="01AF01C6"/>
    <w:rsid w:val="01B12B31"/>
    <w:rsid w:val="01C87131"/>
    <w:rsid w:val="01D10E16"/>
    <w:rsid w:val="01DC76A6"/>
    <w:rsid w:val="01DD0B9F"/>
    <w:rsid w:val="01E561F2"/>
    <w:rsid w:val="01EA4673"/>
    <w:rsid w:val="01F137C6"/>
    <w:rsid w:val="01FE6E10"/>
    <w:rsid w:val="020A645C"/>
    <w:rsid w:val="02107794"/>
    <w:rsid w:val="021251A1"/>
    <w:rsid w:val="021715D2"/>
    <w:rsid w:val="022243BF"/>
    <w:rsid w:val="024E797F"/>
    <w:rsid w:val="02523310"/>
    <w:rsid w:val="02550ACE"/>
    <w:rsid w:val="025A3625"/>
    <w:rsid w:val="025B152B"/>
    <w:rsid w:val="02662787"/>
    <w:rsid w:val="026D73E1"/>
    <w:rsid w:val="02762818"/>
    <w:rsid w:val="028A3B7A"/>
    <w:rsid w:val="029124C1"/>
    <w:rsid w:val="0294748A"/>
    <w:rsid w:val="029C267D"/>
    <w:rsid w:val="029F2443"/>
    <w:rsid w:val="02A656F4"/>
    <w:rsid w:val="02CA1FD3"/>
    <w:rsid w:val="02F818C1"/>
    <w:rsid w:val="02FA50E6"/>
    <w:rsid w:val="0306294B"/>
    <w:rsid w:val="030856B5"/>
    <w:rsid w:val="031701EB"/>
    <w:rsid w:val="031E6201"/>
    <w:rsid w:val="032003F8"/>
    <w:rsid w:val="033D44DE"/>
    <w:rsid w:val="033F2C99"/>
    <w:rsid w:val="03401215"/>
    <w:rsid w:val="034900E0"/>
    <w:rsid w:val="0356420D"/>
    <w:rsid w:val="036B1ABD"/>
    <w:rsid w:val="037C305D"/>
    <w:rsid w:val="037D4E69"/>
    <w:rsid w:val="03914293"/>
    <w:rsid w:val="03A04F12"/>
    <w:rsid w:val="03A41B70"/>
    <w:rsid w:val="03B11B8F"/>
    <w:rsid w:val="03B13441"/>
    <w:rsid w:val="03BA639A"/>
    <w:rsid w:val="03CC414F"/>
    <w:rsid w:val="03CD590F"/>
    <w:rsid w:val="03DE1398"/>
    <w:rsid w:val="03EF7BA5"/>
    <w:rsid w:val="03F6483C"/>
    <w:rsid w:val="04043AF0"/>
    <w:rsid w:val="041503CF"/>
    <w:rsid w:val="0428342F"/>
    <w:rsid w:val="04471B06"/>
    <w:rsid w:val="04484436"/>
    <w:rsid w:val="04491595"/>
    <w:rsid w:val="044A4632"/>
    <w:rsid w:val="047920A4"/>
    <w:rsid w:val="04793CE8"/>
    <w:rsid w:val="0479458D"/>
    <w:rsid w:val="04842C94"/>
    <w:rsid w:val="048D382F"/>
    <w:rsid w:val="04910D7C"/>
    <w:rsid w:val="04A45C5D"/>
    <w:rsid w:val="04AA2BD4"/>
    <w:rsid w:val="04AB7A37"/>
    <w:rsid w:val="04BD0D3B"/>
    <w:rsid w:val="04C8685F"/>
    <w:rsid w:val="04CA76F0"/>
    <w:rsid w:val="04D96073"/>
    <w:rsid w:val="04E608F9"/>
    <w:rsid w:val="04E947B4"/>
    <w:rsid w:val="04F07ADF"/>
    <w:rsid w:val="050609F5"/>
    <w:rsid w:val="051A2788"/>
    <w:rsid w:val="051B25C3"/>
    <w:rsid w:val="052C3FA3"/>
    <w:rsid w:val="052C4F38"/>
    <w:rsid w:val="05567BA2"/>
    <w:rsid w:val="057E44E3"/>
    <w:rsid w:val="057F2F0B"/>
    <w:rsid w:val="05843682"/>
    <w:rsid w:val="058B0B55"/>
    <w:rsid w:val="05B20448"/>
    <w:rsid w:val="05B61AC5"/>
    <w:rsid w:val="05C14BE8"/>
    <w:rsid w:val="05CE1556"/>
    <w:rsid w:val="05EF07C9"/>
    <w:rsid w:val="06015A3C"/>
    <w:rsid w:val="06027EF5"/>
    <w:rsid w:val="060C0CA5"/>
    <w:rsid w:val="06110B74"/>
    <w:rsid w:val="061971ED"/>
    <w:rsid w:val="061A315C"/>
    <w:rsid w:val="06203C9F"/>
    <w:rsid w:val="06252B22"/>
    <w:rsid w:val="063D229E"/>
    <w:rsid w:val="063D613E"/>
    <w:rsid w:val="06442174"/>
    <w:rsid w:val="06480453"/>
    <w:rsid w:val="065B0926"/>
    <w:rsid w:val="06694E5F"/>
    <w:rsid w:val="067361BA"/>
    <w:rsid w:val="067F6EA1"/>
    <w:rsid w:val="06823783"/>
    <w:rsid w:val="06824FEB"/>
    <w:rsid w:val="068654FA"/>
    <w:rsid w:val="068C7553"/>
    <w:rsid w:val="068E167D"/>
    <w:rsid w:val="06AB2C5D"/>
    <w:rsid w:val="06BB0DCA"/>
    <w:rsid w:val="06BF01A7"/>
    <w:rsid w:val="06C1006B"/>
    <w:rsid w:val="06D602A8"/>
    <w:rsid w:val="06D9595F"/>
    <w:rsid w:val="070133B2"/>
    <w:rsid w:val="07080D1B"/>
    <w:rsid w:val="070F7F00"/>
    <w:rsid w:val="071663C1"/>
    <w:rsid w:val="07283DE5"/>
    <w:rsid w:val="07477450"/>
    <w:rsid w:val="074D24C6"/>
    <w:rsid w:val="07507AAC"/>
    <w:rsid w:val="075626E1"/>
    <w:rsid w:val="07787C3C"/>
    <w:rsid w:val="078324AB"/>
    <w:rsid w:val="078808A5"/>
    <w:rsid w:val="078E330A"/>
    <w:rsid w:val="07AA222B"/>
    <w:rsid w:val="07B5421C"/>
    <w:rsid w:val="07CA2462"/>
    <w:rsid w:val="07D76797"/>
    <w:rsid w:val="07D90597"/>
    <w:rsid w:val="07DB1F23"/>
    <w:rsid w:val="07DC2014"/>
    <w:rsid w:val="07EB35D1"/>
    <w:rsid w:val="07F32DA3"/>
    <w:rsid w:val="07F66701"/>
    <w:rsid w:val="07FD6D5F"/>
    <w:rsid w:val="07FF6BD0"/>
    <w:rsid w:val="081C616D"/>
    <w:rsid w:val="082323C7"/>
    <w:rsid w:val="082678FD"/>
    <w:rsid w:val="082E44D1"/>
    <w:rsid w:val="08322FA7"/>
    <w:rsid w:val="08394D46"/>
    <w:rsid w:val="083A5007"/>
    <w:rsid w:val="08533175"/>
    <w:rsid w:val="08540482"/>
    <w:rsid w:val="08602F16"/>
    <w:rsid w:val="087E10BE"/>
    <w:rsid w:val="08804573"/>
    <w:rsid w:val="08817364"/>
    <w:rsid w:val="08822ECE"/>
    <w:rsid w:val="088B6E79"/>
    <w:rsid w:val="08A72BF5"/>
    <w:rsid w:val="08AE1D52"/>
    <w:rsid w:val="08B22098"/>
    <w:rsid w:val="08CA6B4A"/>
    <w:rsid w:val="08CB435D"/>
    <w:rsid w:val="08D17DCB"/>
    <w:rsid w:val="08DD3AA4"/>
    <w:rsid w:val="08EB3F64"/>
    <w:rsid w:val="09251CFD"/>
    <w:rsid w:val="092B21BF"/>
    <w:rsid w:val="093A3225"/>
    <w:rsid w:val="094720D2"/>
    <w:rsid w:val="09506A1B"/>
    <w:rsid w:val="095948E7"/>
    <w:rsid w:val="09661EE6"/>
    <w:rsid w:val="09682998"/>
    <w:rsid w:val="096E34B0"/>
    <w:rsid w:val="09730519"/>
    <w:rsid w:val="09953139"/>
    <w:rsid w:val="099A2FFA"/>
    <w:rsid w:val="09AA57AA"/>
    <w:rsid w:val="09AD25DC"/>
    <w:rsid w:val="09AD4672"/>
    <w:rsid w:val="09AF3626"/>
    <w:rsid w:val="09C02B44"/>
    <w:rsid w:val="09C635D4"/>
    <w:rsid w:val="09C85D67"/>
    <w:rsid w:val="09CA726C"/>
    <w:rsid w:val="09CF2E98"/>
    <w:rsid w:val="09CF7D35"/>
    <w:rsid w:val="09D07554"/>
    <w:rsid w:val="09D4401A"/>
    <w:rsid w:val="09D6398F"/>
    <w:rsid w:val="09E702AB"/>
    <w:rsid w:val="09F67490"/>
    <w:rsid w:val="0A047B3E"/>
    <w:rsid w:val="0A083F3B"/>
    <w:rsid w:val="0A1C1966"/>
    <w:rsid w:val="0A2012F9"/>
    <w:rsid w:val="0A32165A"/>
    <w:rsid w:val="0A376299"/>
    <w:rsid w:val="0A39193C"/>
    <w:rsid w:val="0A51264C"/>
    <w:rsid w:val="0A7550F1"/>
    <w:rsid w:val="0A7B532F"/>
    <w:rsid w:val="0AAD201C"/>
    <w:rsid w:val="0AB90F90"/>
    <w:rsid w:val="0AC107AB"/>
    <w:rsid w:val="0AD36590"/>
    <w:rsid w:val="0AE2091B"/>
    <w:rsid w:val="0AE857C7"/>
    <w:rsid w:val="0AF64ACD"/>
    <w:rsid w:val="0AFF138C"/>
    <w:rsid w:val="0B1F62A3"/>
    <w:rsid w:val="0B2D130D"/>
    <w:rsid w:val="0B3A618B"/>
    <w:rsid w:val="0B502C42"/>
    <w:rsid w:val="0B60798A"/>
    <w:rsid w:val="0B6E2B79"/>
    <w:rsid w:val="0B7E21AB"/>
    <w:rsid w:val="0B7F5A28"/>
    <w:rsid w:val="0B885890"/>
    <w:rsid w:val="0B8D0232"/>
    <w:rsid w:val="0B9161E5"/>
    <w:rsid w:val="0BA3654E"/>
    <w:rsid w:val="0BA56440"/>
    <w:rsid w:val="0BAD0D22"/>
    <w:rsid w:val="0BB400C6"/>
    <w:rsid w:val="0BB41626"/>
    <w:rsid w:val="0BDA3ED2"/>
    <w:rsid w:val="0C051509"/>
    <w:rsid w:val="0C2F3715"/>
    <w:rsid w:val="0C383D1F"/>
    <w:rsid w:val="0C3937F5"/>
    <w:rsid w:val="0C4A3EA4"/>
    <w:rsid w:val="0C534449"/>
    <w:rsid w:val="0C5838FE"/>
    <w:rsid w:val="0C6B4300"/>
    <w:rsid w:val="0C6F3551"/>
    <w:rsid w:val="0C746CCF"/>
    <w:rsid w:val="0C78761E"/>
    <w:rsid w:val="0C7E74F0"/>
    <w:rsid w:val="0C8310B7"/>
    <w:rsid w:val="0C8C6D73"/>
    <w:rsid w:val="0C9357A8"/>
    <w:rsid w:val="0C98504D"/>
    <w:rsid w:val="0C9F5653"/>
    <w:rsid w:val="0CB44C57"/>
    <w:rsid w:val="0CC2007A"/>
    <w:rsid w:val="0CD669D8"/>
    <w:rsid w:val="0CDB4889"/>
    <w:rsid w:val="0CE2046D"/>
    <w:rsid w:val="0CF94478"/>
    <w:rsid w:val="0D1A27A3"/>
    <w:rsid w:val="0D21609D"/>
    <w:rsid w:val="0D225F51"/>
    <w:rsid w:val="0D2462BF"/>
    <w:rsid w:val="0D296530"/>
    <w:rsid w:val="0D2C299B"/>
    <w:rsid w:val="0D306C6E"/>
    <w:rsid w:val="0D455663"/>
    <w:rsid w:val="0D524370"/>
    <w:rsid w:val="0D631169"/>
    <w:rsid w:val="0D7E00DA"/>
    <w:rsid w:val="0D7F2E80"/>
    <w:rsid w:val="0D981D69"/>
    <w:rsid w:val="0D9D48DB"/>
    <w:rsid w:val="0DA106A6"/>
    <w:rsid w:val="0DA34B40"/>
    <w:rsid w:val="0DAC7851"/>
    <w:rsid w:val="0DB04EE0"/>
    <w:rsid w:val="0DB92719"/>
    <w:rsid w:val="0DCF3416"/>
    <w:rsid w:val="0DDD498D"/>
    <w:rsid w:val="0DE35839"/>
    <w:rsid w:val="0E007CCB"/>
    <w:rsid w:val="0E0346AA"/>
    <w:rsid w:val="0E090268"/>
    <w:rsid w:val="0E0A382E"/>
    <w:rsid w:val="0E0E59EE"/>
    <w:rsid w:val="0E1E5186"/>
    <w:rsid w:val="0E3F3320"/>
    <w:rsid w:val="0E576361"/>
    <w:rsid w:val="0E5A0380"/>
    <w:rsid w:val="0E674054"/>
    <w:rsid w:val="0E6E039F"/>
    <w:rsid w:val="0E6E1AF1"/>
    <w:rsid w:val="0E741C25"/>
    <w:rsid w:val="0E8D120F"/>
    <w:rsid w:val="0E9B0E1A"/>
    <w:rsid w:val="0EBB1479"/>
    <w:rsid w:val="0ED16D45"/>
    <w:rsid w:val="0ED45A6F"/>
    <w:rsid w:val="0EF22955"/>
    <w:rsid w:val="0EFA18F2"/>
    <w:rsid w:val="0EFD6A0C"/>
    <w:rsid w:val="0F027524"/>
    <w:rsid w:val="0F0F6F85"/>
    <w:rsid w:val="0F1C5A04"/>
    <w:rsid w:val="0F253EE5"/>
    <w:rsid w:val="0F357090"/>
    <w:rsid w:val="0F3870C4"/>
    <w:rsid w:val="0F466704"/>
    <w:rsid w:val="0F6A7450"/>
    <w:rsid w:val="0F7962E8"/>
    <w:rsid w:val="0F8A6571"/>
    <w:rsid w:val="0F924692"/>
    <w:rsid w:val="0FA60789"/>
    <w:rsid w:val="0FD76755"/>
    <w:rsid w:val="0FD76FAA"/>
    <w:rsid w:val="0FE5349C"/>
    <w:rsid w:val="0FF518FA"/>
    <w:rsid w:val="10146D39"/>
    <w:rsid w:val="1022572B"/>
    <w:rsid w:val="10343C06"/>
    <w:rsid w:val="103A31BB"/>
    <w:rsid w:val="104D5A3C"/>
    <w:rsid w:val="107643BB"/>
    <w:rsid w:val="10771480"/>
    <w:rsid w:val="10810A46"/>
    <w:rsid w:val="10842B5E"/>
    <w:rsid w:val="10A4002B"/>
    <w:rsid w:val="10C0668A"/>
    <w:rsid w:val="10C640D7"/>
    <w:rsid w:val="10DC4226"/>
    <w:rsid w:val="10ED485D"/>
    <w:rsid w:val="111243D6"/>
    <w:rsid w:val="11137A9F"/>
    <w:rsid w:val="11220330"/>
    <w:rsid w:val="11264B54"/>
    <w:rsid w:val="11305185"/>
    <w:rsid w:val="11447462"/>
    <w:rsid w:val="11641A0B"/>
    <w:rsid w:val="11772542"/>
    <w:rsid w:val="117A5DA5"/>
    <w:rsid w:val="11863097"/>
    <w:rsid w:val="118A7FC4"/>
    <w:rsid w:val="118B02A0"/>
    <w:rsid w:val="118B46BF"/>
    <w:rsid w:val="11907D6A"/>
    <w:rsid w:val="119D6919"/>
    <w:rsid w:val="11A95120"/>
    <w:rsid w:val="11C11552"/>
    <w:rsid w:val="11C63544"/>
    <w:rsid w:val="11CE6CC4"/>
    <w:rsid w:val="11DC29E2"/>
    <w:rsid w:val="11E550A8"/>
    <w:rsid w:val="1205772F"/>
    <w:rsid w:val="121D0D6F"/>
    <w:rsid w:val="12271D82"/>
    <w:rsid w:val="122C3A07"/>
    <w:rsid w:val="122E46A4"/>
    <w:rsid w:val="124A7AC8"/>
    <w:rsid w:val="124C6302"/>
    <w:rsid w:val="12714363"/>
    <w:rsid w:val="12717A64"/>
    <w:rsid w:val="127E23EF"/>
    <w:rsid w:val="12A753BA"/>
    <w:rsid w:val="12A76F1E"/>
    <w:rsid w:val="12B406F1"/>
    <w:rsid w:val="12B65E85"/>
    <w:rsid w:val="12B8590F"/>
    <w:rsid w:val="12CD705E"/>
    <w:rsid w:val="12DE3A55"/>
    <w:rsid w:val="12E50DFA"/>
    <w:rsid w:val="13013944"/>
    <w:rsid w:val="1304495D"/>
    <w:rsid w:val="13057DAF"/>
    <w:rsid w:val="131941FF"/>
    <w:rsid w:val="131E527C"/>
    <w:rsid w:val="133A0628"/>
    <w:rsid w:val="13452AEB"/>
    <w:rsid w:val="1348230E"/>
    <w:rsid w:val="1349715D"/>
    <w:rsid w:val="13526217"/>
    <w:rsid w:val="13621162"/>
    <w:rsid w:val="136732AF"/>
    <w:rsid w:val="137B4A3F"/>
    <w:rsid w:val="137E4EE4"/>
    <w:rsid w:val="138A0395"/>
    <w:rsid w:val="138C6BF0"/>
    <w:rsid w:val="13906103"/>
    <w:rsid w:val="13A20F21"/>
    <w:rsid w:val="13A926FE"/>
    <w:rsid w:val="13A97E7F"/>
    <w:rsid w:val="13B323FC"/>
    <w:rsid w:val="13C453B0"/>
    <w:rsid w:val="13D41CF7"/>
    <w:rsid w:val="13D54E23"/>
    <w:rsid w:val="13DA2543"/>
    <w:rsid w:val="13F06987"/>
    <w:rsid w:val="13F15A54"/>
    <w:rsid w:val="13F851F8"/>
    <w:rsid w:val="13FD5C8B"/>
    <w:rsid w:val="14050187"/>
    <w:rsid w:val="140633EA"/>
    <w:rsid w:val="14080B75"/>
    <w:rsid w:val="140C033D"/>
    <w:rsid w:val="140D2A6D"/>
    <w:rsid w:val="140D4631"/>
    <w:rsid w:val="14126B5B"/>
    <w:rsid w:val="141A2765"/>
    <w:rsid w:val="142643D5"/>
    <w:rsid w:val="142B7F16"/>
    <w:rsid w:val="143275F7"/>
    <w:rsid w:val="143D7C26"/>
    <w:rsid w:val="14491980"/>
    <w:rsid w:val="14637AB5"/>
    <w:rsid w:val="14816866"/>
    <w:rsid w:val="148B7313"/>
    <w:rsid w:val="148C25FE"/>
    <w:rsid w:val="1499714E"/>
    <w:rsid w:val="14A40973"/>
    <w:rsid w:val="14B159B1"/>
    <w:rsid w:val="14B45E5E"/>
    <w:rsid w:val="14BD4536"/>
    <w:rsid w:val="14CE03FD"/>
    <w:rsid w:val="14D37790"/>
    <w:rsid w:val="14D64D74"/>
    <w:rsid w:val="14D73069"/>
    <w:rsid w:val="14E16FF2"/>
    <w:rsid w:val="14E54C4A"/>
    <w:rsid w:val="14E75DF1"/>
    <w:rsid w:val="14E92F22"/>
    <w:rsid w:val="14F01FE0"/>
    <w:rsid w:val="14F14335"/>
    <w:rsid w:val="14F8429E"/>
    <w:rsid w:val="15121CE7"/>
    <w:rsid w:val="1519721A"/>
    <w:rsid w:val="151C25FD"/>
    <w:rsid w:val="152C628F"/>
    <w:rsid w:val="1532059F"/>
    <w:rsid w:val="153949A6"/>
    <w:rsid w:val="153C3427"/>
    <w:rsid w:val="153E5C2E"/>
    <w:rsid w:val="154D1E15"/>
    <w:rsid w:val="155203AB"/>
    <w:rsid w:val="15757C7F"/>
    <w:rsid w:val="15786158"/>
    <w:rsid w:val="157D6C4E"/>
    <w:rsid w:val="158E5AEA"/>
    <w:rsid w:val="1595451C"/>
    <w:rsid w:val="159761FE"/>
    <w:rsid w:val="15A71257"/>
    <w:rsid w:val="15A7787E"/>
    <w:rsid w:val="15C13BC5"/>
    <w:rsid w:val="15C20664"/>
    <w:rsid w:val="15D35913"/>
    <w:rsid w:val="15E07012"/>
    <w:rsid w:val="15EE296E"/>
    <w:rsid w:val="15F14DEF"/>
    <w:rsid w:val="15FA5591"/>
    <w:rsid w:val="16083949"/>
    <w:rsid w:val="160C22E0"/>
    <w:rsid w:val="1619355A"/>
    <w:rsid w:val="161F7F14"/>
    <w:rsid w:val="16264105"/>
    <w:rsid w:val="162B23EA"/>
    <w:rsid w:val="162F2FE5"/>
    <w:rsid w:val="16311F49"/>
    <w:rsid w:val="16336BFB"/>
    <w:rsid w:val="163A20D3"/>
    <w:rsid w:val="163C5D48"/>
    <w:rsid w:val="164316B2"/>
    <w:rsid w:val="16442A8F"/>
    <w:rsid w:val="16496C40"/>
    <w:rsid w:val="164E163A"/>
    <w:rsid w:val="164E62A2"/>
    <w:rsid w:val="165322A4"/>
    <w:rsid w:val="165E61EB"/>
    <w:rsid w:val="16680D09"/>
    <w:rsid w:val="16686287"/>
    <w:rsid w:val="16727717"/>
    <w:rsid w:val="167A19DE"/>
    <w:rsid w:val="16804397"/>
    <w:rsid w:val="16855594"/>
    <w:rsid w:val="168C00F5"/>
    <w:rsid w:val="16B310D0"/>
    <w:rsid w:val="16C554F1"/>
    <w:rsid w:val="16FA2325"/>
    <w:rsid w:val="17036CE0"/>
    <w:rsid w:val="1711153F"/>
    <w:rsid w:val="175030CF"/>
    <w:rsid w:val="17513ACD"/>
    <w:rsid w:val="175C64EA"/>
    <w:rsid w:val="176E77A5"/>
    <w:rsid w:val="17743F61"/>
    <w:rsid w:val="17821F97"/>
    <w:rsid w:val="17991010"/>
    <w:rsid w:val="17AE5B77"/>
    <w:rsid w:val="17B510F0"/>
    <w:rsid w:val="17BB63C6"/>
    <w:rsid w:val="17BF5676"/>
    <w:rsid w:val="17C560B9"/>
    <w:rsid w:val="17D41346"/>
    <w:rsid w:val="17D947ED"/>
    <w:rsid w:val="17E356DA"/>
    <w:rsid w:val="17F90F04"/>
    <w:rsid w:val="17FB73DA"/>
    <w:rsid w:val="18143E48"/>
    <w:rsid w:val="182378A1"/>
    <w:rsid w:val="183160A6"/>
    <w:rsid w:val="18320839"/>
    <w:rsid w:val="18470890"/>
    <w:rsid w:val="184B6B17"/>
    <w:rsid w:val="184F02F0"/>
    <w:rsid w:val="185A4E0B"/>
    <w:rsid w:val="18645A5A"/>
    <w:rsid w:val="187D4776"/>
    <w:rsid w:val="187E75CD"/>
    <w:rsid w:val="188469CF"/>
    <w:rsid w:val="188941B9"/>
    <w:rsid w:val="188E69B9"/>
    <w:rsid w:val="18912CA9"/>
    <w:rsid w:val="18AA5501"/>
    <w:rsid w:val="18B00B75"/>
    <w:rsid w:val="18B34B1D"/>
    <w:rsid w:val="18BB4D51"/>
    <w:rsid w:val="18DB61E4"/>
    <w:rsid w:val="18F4078B"/>
    <w:rsid w:val="1907709C"/>
    <w:rsid w:val="19077221"/>
    <w:rsid w:val="190822DE"/>
    <w:rsid w:val="191C4933"/>
    <w:rsid w:val="19222E41"/>
    <w:rsid w:val="192B5D53"/>
    <w:rsid w:val="19322D84"/>
    <w:rsid w:val="193C774B"/>
    <w:rsid w:val="194B3C1B"/>
    <w:rsid w:val="194D319A"/>
    <w:rsid w:val="194D33E6"/>
    <w:rsid w:val="19514F1C"/>
    <w:rsid w:val="1966154A"/>
    <w:rsid w:val="196F3480"/>
    <w:rsid w:val="19775FAF"/>
    <w:rsid w:val="197E7EC1"/>
    <w:rsid w:val="198468C9"/>
    <w:rsid w:val="199A798E"/>
    <w:rsid w:val="19A044BC"/>
    <w:rsid w:val="19A82739"/>
    <w:rsid w:val="19B91B04"/>
    <w:rsid w:val="19BA1B8F"/>
    <w:rsid w:val="19C1622F"/>
    <w:rsid w:val="19CC70E9"/>
    <w:rsid w:val="19DA5077"/>
    <w:rsid w:val="19E10E90"/>
    <w:rsid w:val="19E30A82"/>
    <w:rsid w:val="1A0C09AE"/>
    <w:rsid w:val="1A0C2310"/>
    <w:rsid w:val="1A0F0344"/>
    <w:rsid w:val="1A1E30D8"/>
    <w:rsid w:val="1A285FA2"/>
    <w:rsid w:val="1A50145F"/>
    <w:rsid w:val="1A5846C3"/>
    <w:rsid w:val="1A643357"/>
    <w:rsid w:val="1A690678"/>
    <w:rsid w:val="1A6B5C5E"/>
    <w:rsid w:val="1A824D41"/>
    <w:rsid w:val="1A8C393D"/>
    <w:rsid w:val="1A8E5DD9"/>
    <w:rsid w:val="1AB057E6"/>
    <w:rsid w:val="1AB71181"/>
    <w:rsid w:val="1ABB5371"/>
    <w:rsid w:val="1AD03F5C"/>
    <w:rsid w:val="1AD2767F"/>
    <w:rsid w:val="1AD97F79"/>
    <w:rsid w:val="1ADE782E"/>
    <w:rsid w:val="1AE419DF"/>
    <w:rsid w:val="1AE66911"/>
    <w:rsid w:val="1AEC2E03"/>
    <w:rsid w:val="1AEF0251"/>
    <w:rsid w:val="1AF7EC7D"/>
    <w:rsid w:val="1B010F18"/>
    <w:rsid w:val="1B0F4977"/>
    <w:rsid w:val="1B133656"/>
    <w:rsid w:val="1B14282F"/>
    <w:rsid w:val="1B3D252D"/>
    <w:rsid w:val="1B4C6BD3"/>
    <w:rsid w:val="1B655004"/>
    <w:rsid w:val="1B6F118C"/>
    <w:rsid w:val="1B776BE1"/>
    <w:rsid w:val="1B79317C"/>
    <w:rsid w:val="1B7F1768"/>
    <w:rsid w:val="1B850160"/>
    <w:rsid w:val="1B8B10AC"/>
    <w:rsid w:val="1BA40C29"/>
    <w:rsid w:val="1BAD1BA9"/>
    <w:rsid w:val="1BB075AE"/>
    <w:rsid w:val="1BBB0BC8"/>
    <w:rsid w:val="1BC45BEE"/>
    <w:rsid w:val="1BCF433C"/>
    <w:rsid w:val="1BDA2CCC"/>
    <w:rsid w:val="1BEB4B53"/>
    <w:rsid w:val="1BF27673"/>
    <w:rsid w:val="1C1B51AA"/>
    <w:rsid w:val="1C1E56D0"/>
    <w:rsid w:val="1C316406"/>
    <w:rsid w:val="1C32098F"/>
    <w:rsid w:val="1C3215DD"/>
    <w:rsid w:val="1C394A3C"/>
    <w:rsid w:val="1C3E7F97"/>
    <w:rsid w:val="1C4147AB"/>
    <w:rsid w:val="1C476850"/>
    <w:rsid w:val="1C4C3E04"/>
    <w:rsid w:val="1C6D3248"/>
    <w:rsid w:val="1C7A40A4"/>
    <w:rsid w:val="1C802D37"/>
    <w:rsid w:val="1C9B2170"/>
    <w:rsid w:val="1C9C28E0"/>
    <w:rsid w:val="1CA17973"/>
    <w:rsid w:val="1CA513CD"/>
    <w:rsid w:val="1CAE6C4C"/>
    <w:rsid w:val="1CAF1F97"/>
    <w:rsid w:val="1CC05A03"/>
    <w:rsid w:val="1CC750B2"/>
    <w:rsid w:val="1CCB6270"/>
    <w:rsid w:val="1CCE068B"/>
    <w:rsid w:val="1CE81037"/>
    <w:rsid w:val="1CEA0B9B"/>
    <w:rsid w:val="1CF75682"/>
    <w:rsid w:val="1D132C89"/>
    <w:rsid w:val="1D38238F"/>
    <w:rsid w:val="1D3F5138"/>
    <w:rsid w:val="1D43286A"/>
    <w:rsid w:val="1D5F2621"/>
    <w:rsid w:val="1D6F4541"/>
    <w:rsid w:val="1D7F7380"/>
    <w:rsid w:val="1D837934"/>
    <w:rsid w:val="1D876168"/>
    <w:rsid w:val="1D8B1988"/>
    <w:rsid w:val="1D9D2172"/>
    <w:rsid w:val="1D9E6E40"/>
    <w:rsid w:val="1DA6395E"/>
    <w:rsid w:val="1DC735BA"/>
    <w:rsid w:val="1DCF713F"/>
    <w:rsid w:val="1DD424E3"/>
    <w:rsid w:val="1DD5485E"/>
    <w:rsid w:val="1DD64509"/>
    <w:rsid w:val="1DE05EB7"/>
    <w:rsid w:val="1DE5578F"/>
    <w:rsid w:val="1DFE5485"/>
    <w:rsid w:val="1E00642F"/>
    <w:rsid w:val="1E045AF5"/>
    <w:rsid w:val="1E052EA9"/>
    <w:rsid w:val="1E0F008B"/>
    <w:rsid w:val="1E1C551A"/>
    <w:rsid w:val="1E1FAE54"/>
    <w:rsid w:val="1E2D0F8F"/>
    <w:rsid w:val="1E305374"/>
    <w:rsid w:val="1E384F8E"/>
    <w:rsid w:val="1E427F2D"/>
    <w:rsid w:val="1E4C7D30"/>
    <w:rsid w:val="1E7D38DE"/>
    <w:rsid w:val="1E7D7732"/>
    <w:rsid w:val="1E9639DF"/>
    <w:rsid w:val="1EA7791D"/>
    <w:rsid w:val="1EAA108A"/>
    <w:rsid w:val="1EB41FAE"/>
    <w:rsid w:val="1EBF3882"/>
    <w:rsid w:val="1ECA5336"/>
    <w:rsid w:val="1ECB2732"/>
    <w:rsid w:val="1EEC0A59"/>
    <w:rsid w:val="1EFE3CD0"/>
    <w:rsid w:val="1F1141DF"/>
    <w:rsid w:val="1F1507AF"/>
    <w:rsid w:val="1F161863"/>
    <w:rsid w:val="1F185EF8"/>
    <w:rsid w:val="1F2C1B1A"/>
    <w:rsid w:val="1F331E20"/>
    <w:rsid w:val="1F3F7E23"/>
    <w:rsid w:val="1F4B44AE"/>
    <w:rsid w:val="1F510D58"/>
    <w:rsid w:val="1F523FDB"/>
    <w:rsid w:val="1F5814EC"/>
    <w:rsid w:val="1F5F7CC1"/>
    <w:rsid w:val="1F611DE1"/>
    <w:rsid w:val="1F6272E1"/>
    <w:rsid w:val="1F6645CB"/>
    <w:rsid w:val="1F673EE3"/>
    <w:rsid w:val="1F827A36"/>
    <w:rsid w:val="1F97573E"/>
    <w:rsid w:val="1FA345B2"/>
    <w:rsid w:val="1FAF3032"/>
    <w:rsid w:val="1FC021A3"/>
    <w:rsid w:val="1FD37762"/>
    <w:rsid w:val="1FEB7356"/>
    <w:rsid w:val="200B181A"/>
    <w:rsid w:val="20110A71"/>
    <w:rsid w:val="20187AEB"/>
    <w:rsid w:val="201D5F97"/>
    <w:rsid w:val="20277CE5"/>
    <w:rsid w:val="2035397F"/>
    <w:rsid w:val="2043534D"/>
    <w:rsid w:val="20572AFF"/>
    <w:rsid w:val="20595D0A"/>
    <w:rsid w:val="2083155B"/>
    <w:rsid w:val="20842B0A"/>
    <w:rsid w:val="2093290B"/>
    <w:rsid w:val="209A1225"/>
    <w:rsid w:val="20A17229"/>
    <w:rsid w:val="20C13A54"/>
    <w:rsid w:val="20F15497"/>
    <w:rsid w:val="20FA69C5"/>
    <w:rsid w:val="211E4E7D"/>
    <w:rsid w:val="211F09CB"/>
    <w:rsid w:val="21280F6B"/>
    <w:rsid w:val="21283DC1"/>
    <w:rsid w:val="212A36C8"/>
    <w:rsid w:val="2130301A"/>
    <w:rsid w:val="21432A77"/>
    <w:rsid w:val="21557A9D"/>
    <w:rsid w:val="215C464A"/>
    <w:rsid w:val="217A5ABE"/>
    <w:rsid w:val="21827B42"/>
    <w:rsid w:val="21973644"/>
    <w:rsid w:val="21B94990"/>
    <w:rsid w:val="21BE1C50"/>
    <w:rsid w:val="21D56E04"/>
    <w:rsid w:val="21DE0377"/>
    <w:rsid w:val="21E005EE"/>
    <w:rsid w:val="21EA0742"/>
    <w:rsid w:val="21EF5C11"/>
    <w:rsid w:val="220157DA"/>
    <w:rsid w:val="22174B18"/>
    <w:rsid w:val="22264CCB"/>
    <w:rsid w:val="223278FF"/>
    <w:rsid w:val="223F18CA"/>
    <w:rsid w:val="224222B8"/>
    <w:rsid w:val="22517F0E"/>
    <w:rsid w:val="22590288"/>
    <w:rsid w:val="227232AB"/>
    <w:rsid w:val="22776456"/>
    <w:rsid w:val="227821CE"/>
    <w:rsid w:val="22886DA9"/>
    <w:rsid w:val="22937DF2"/>
    <w:rsid w:val="22B30063"/>
    <w:rsid w:val="22DB3FFB"/>
    <w:rsid w:val="22E53CFD"/>
    <w:rsid w:val="22E7591F"/>
    <w:rsid w:val="22E97CB3"/>
    <w:rsid w:val="22F6166E"/>
    <w:rsid w:val="22F83315"/>
    <w:rsid w:val="22FD4A68"/>
    <w:rsid w:val="23007B34"/>
    <w:rsid w:val="230340C5"/>
    <w:rsid w:val="230C273D"/>
    <w:rsid w:val="231A44D5"/>
    <w:rsid w:val="23260E77"/>
    <w:rsid w:val="23281F36"/>
    <w:rsid w:val="232A1921"/>
    <w:rsid w:val="233A70D8"/>
    <w:rsid w:val="233C4B1C"/>
    <w:rsid w:val="23401125"/>
    <w:rsid w:val="23493D73"/>
    <w:rsid w:val="234F1DCD"/>
    <w:rsid w:val="23576F17"/>
    <w:rsid w:val="2362243E"/>
    <w:rsid w:val="2370287E"/>
    <w:rsid w:val="23741634"/>
    <w:rsid w:val="2387396B"/>
    <w:rsid w:val="23991C0B"/>
    <w:rsid w:val="23A30346"/>
    <w:rsid w:val="23AF01E8"/>
    <w:rsid w:val="23AF5D19"/>
    <w:rsid w:val="23B26657"/>
    <w:rsid w:val="23B70711"/>
    <w:rsid w:val="23BA05F7"/>
    <w:rsid w:val="23BA34CA"/>
    <w:rsid w:val="23BC4F39"/>
    <w:rsid w:val="23DF13DF"/>
    <w:rsid w:val="23E500F3"/>
    <w:rsid w:val="23FC3ECA"/>
    <w:rsid w:val="2402325B"/>
    <w:rsid w:val="24025F41"/>
    <w:rsid w:val="240D7639"/>
    <w:rsid w:val="240F60DE"/>
    <w:rsid w:val="24174A02"/>
    <w:rsid w:val="243865AC"/>
    <w:rsid w:val="243B46E9"/>
    <w:rsid w:val="244348F0"/>
    <w:rsid w:val="24445E0D"/>
    <w:rsid w:val="24620F1E"/>
    <w:rsid w:val="246452B0"/>
    <w:rsid w:val="247300E2"/>
    <w:rsid w:val="247D5EE8"/>
    <w:rsid w:val="248C4D2E"/>
    <w:rsid w:val="24AE207B"/>
    <w:rsid w:val="24B505FC"/>
    <w:rsid w:val="24BB4F69"/>
    <w:rsid w:val="24CE74C8"/>
    <w:rsid w:val="24DA4B7A"/>
    <w:rsid w:val="24E2736D"/>
    <w:rsid w:val="24F02F00"/>
    <w:rsid w:val="24F139F0"/>
    <w:rsid w:val="250A5D4A"/>
    <w:rsid w:val="25150808"/>
    <w:rsid w:val="25227435"/>
    <w:rsid w:val="252F6651"/>
    <w:rsid w:val="25310035"/>
    <w:rsid w:val="25385D54"/>
    <w:rsid w:val="253B3588"/>
    <w:rsid w:val="25541FF0"/>
    <w:rsid w:val="25613F4E"/>
    <w:rsid w:val="256849EF"/>
    <w:rsid w:val="257D0AB2"/>
    <w:rsid w:val="25805509"/>
    <w:rsid w:val="25952841"/>
    <w:rsid w:val="259E552F"/>
    <w:rsid w:val="25D216E5"/>
    <w:rsid w:val="25E2017B"/>
    <w:rsid w:val="25F255EE"/>
    <w:rsid w:val="26126107"/>
    <w:rsid w:val="261B7430"/>
    <w:rsid w:val="2624798C"/>
    <w:rsid w:val="262706E2"/>
    <w:rsid w:val="26282A63"/>
    <w:rsid w:val="263A5013"/>
    <w:rsid w:val="263B066E"/>
    <w:rsid w:val="263D3F60"/>
    <w:rsid w:val="2640565C"/>
    <w:rsid w:val="26421856"/>
    <w:rsid w:val="264F6681"/>
    <w:rsid w:val="26570FB2"/>
    <w:rsid w:val="265B640A"/>
    <w:rsid w:val="265B78B8"/>
    <w:rsid w:val="26677914"/>
    <w:rsid w:val="26686626"/>
    <w:rsid w:val="26705CAA"/>
    <w:rsid w:val="2679122C"/>
    <w:rsid w:val="267E3E85"/>
    <w:rsid w:val="268255B5"/>
    <w:rsid w:val="26997A18"/>
    <w:rsid w:val="26A8187E"/>
    <w:rsid w:val="26AC64C2"/>
    <w:rsid w:val="26AF43AE"/>
    <w:rsid w:val="26B37EA7"/>
    <w:rsid w:val="26B92C3F"/>
    <w:rsid w:val="26D217E0"/>
    <w:rsid w:val="26D92D8E"/>
    <w:rsid w:val="26E756B5"/>
    <w:rsid w:val="26F26520"/>
    <w:rsid w:val="27081B1C"/>
    <w:rsid w:val="27106BB1"/>
    <w:rsid w:val="271902BF"/>
    <w:rsid w:val="2724379C"/>
    <w:rsid w:val="27363982"/>
    <w:rsid w:val="2738087E"/>
    <w:rsid w:val="27384934"/>
    <w:rsid w:val="27472992"/>
    <w:rsid w:val="274C67BF"/>
    <w:rsid w:val="274C6D5B"/>
    <w:rsid w:val="276224B4"/>
    <w:rsid w:val="276369EE"/>
    <w:rsid w:val="27843570"/>
    <w:rsid w:val="278D3D9A"/>
    <w:rsid w:val="278E11AF"/>
    <w:rsid w:val="279948D8"/>
    <w:rsid w:val="279E5C87"/>
    <w:rsid w:val="27A92DD9"/>
    <w:rsid w:val="27B37802"/>
    <w:rsid w:val="27B714D2"/>
    <w:rsid w:val="27C94471"/>
    <w:rsid w:val="27D071AD"/>
    <w:rsid w:val="27D15344"/>
    <w:rsid w:val="27E54321"/>
    <w:rsid w:val="27E85A9A"/>
    <w:rsid w:val="27EE4106"/>
    <w:rsid w:val="27F01E8B"/>
    <w:rsid w:val="27F331C0"/>
    <w:rsid w:val="27F750B4"/>
    <w:rsid w:val="27FE13BC"/>
    <w:rsid w:val="28096E54"/>
    <w:rsid w:val="28200235"/>
    <w:rsid w:val="282C6EF7"/>
    <w:rsid w:val="282D2057"/>
    <w:rsid w:val="282E7FE1"/>
    <w:rsid w:val="2830041B"/>
    <w:rsid w:val="28476ABB"/>
    <w:rsid w:val="285B313F"/>
    <w:rsid w:val="285B6C9C"/>
    <w:rsid w:val="28675CFF"/>
    <w:rsid w:val="28685DA9"/>
    <w:rsid w:val="28876A0B"/>
    <w:rsid w:val="288B0172"/>
    <w:rsid w:val="288B6CF1"/>
    <w:rsid w:val="28973CAD"/>
    <w:rsid w:val="289949FD"/>
    <w:rsid w:val="28B06C28"/>
    <w:rsid w:val="28B10906"/>
    <w:rsid w:val="28B55114"/>
    <w:rsid w:val="28C030A8"/>
    <w:rsid w:val="28C512D7"/>
    <w:rsid w:val="28C9127C"/>
    <w:rsid w:val="28E61190"/>
    <w:rsid w:val="28E752D5"/>
    <w:rsid w:val="28F84057"/>
    <w:rsid w:val="28FB51D5"/>
    <w:rsid w:val="29056B61"/>
    <w:rsid w:val="29156420"/>
    <w:rsid w:val="29165F33"/>
    <w:rsid w:val="293636BA"/>
    <w:rsid w:val="294A6420"/>
    <w:rsid w:val="29654520"/>
    <w:rsid w:val="29726463"/>
    <w:rsid w:val="297A0CB0"/>
    <w:rsid w:val="297A7632"/>
    <w:rsid w:val="2994369B"/>
    <w:rsid w:val="2996198C"/>
    <w:rsid w:val="29BB3F57"/>
    <w:rsid w:val="29C47EB0"/>
    <w:rsid w:val="29D26A74"/>
    <w:rsid w:val="29DC1BDB"/>
    <w:rsid w:val="29F71E6E"/>
    <w:rsid w:val="29F95C39"/>
    <w:rsid w:val="2A011E15"/>
    <w:rsid w:val="2A11602C"/>
    <w:rsid w:val="2A1C47DF"/>
    <w:rsid w:val="2A212850"/>
    <w:rsid w:val="2A2A0D2C"/>
    <w:rsid w:val="2A2F7068"/>
    <w:rsid w:val="2A311ED8"/>
    <w:rsid w:val="2A37668E"/>
    <w:rsid w:val="2A3865D6"/>
    <w:rsid w:val="2A405FA8"/>
    <w:rsid w:val="2A5F0B13"/>
    <w:rsid w:val="2A5F7448"/>
    <w:rsid w:val="2A650986"/>
    <w:rsid w:val="2A6D00D3"/>
    <w:rsid w:val="2A7C1EB9"/>
    <w:rsid w:val="2A7C43B4"/>
    <w:rsid w:val="2A8626FE"/>
    <w:rsid w:val="2A8E1E4D"/>
    <w:rsid w:val="2AB66B90"/>
    <w:rsid w:val="2ABC778F"/>
    <w:rsid w:val="2AC65B9C"/>
    <w:rsid w:val="2AC83817"/>
    <w:rsid w:val="2ACA284F"/>
    <w:rsid w:val="2ACA3407"/>
    <w:rsid w:val="2AD22E2C"/>
    <w:rsid w:val="2ADD3F34"/>
    <w:rsid w:val="2AE508E8"/>
    <w:rsid w:val="2AE5279A"/>
    <w:rsid w:val="2AE66E76"/>
    <w:rsid w:val="2B0831D0"/>
    <w:rsid w:val="2B3544EF"/>
    <w:rsid w:val="2B5318C5"/>
    <w:rsid w:val="2B691D02"/>
    <w:rsid w:val="2B72718E"/>
    <w:rsid w:val="2B762F4B"/>
    <w:rsid w:val="2B796DAB"/>
    <w:rsid w:val="2B7A16F9"/>
    <w:rsid w:val="2B80231C"/>
    <w:rsid w:val="2B836B79"/>
    <w:rsid w:val="2B886BD8"/>
    <w:rsid w:val="2B8B787D"/>
    <w:rsid w:val="2B8D3F76"/>
    <w:rsid w:val="2B9D7E86"/>
    <w:rsid w:val="2BAB6119"/>
    <w:rsid w:val="2BBF4B0F"/>
    <w:rsid w:val="2BCE7B9E"/>
    <w:rsid w:val="2BF10A29"/>
    <w:rsid w:val="2C106FD0"/>
    <w:rsid w:val="2C166738"/>
    <w:rsid w:val="2C3A05CF"/>
    <w:rsid w:val="2C4D0258"/>
    <w:rsid w:val="2C5E27F3"/>
    <w:rsid w:val="2C605D57"/>
    <w:rsid w:val="2C674032"/>
    <w:rsid w:val="2C7F49CE"/>
    <w:rsid w:val="2C8020DE"/>
    <w:rsid w:val="2C805741"/>
    <w:rsid w:val="2C89295F"/>
    <w:rsid w:val="2CAA2F6C"/>
    <w:rsid w:val="2CAB1132"/>
    <w:rsid w:val="2CAC1A14"/>
    <w:rsid w:val="2CAE0F8F"/>
    <w:rsid w:val="2CAF2725"/>
    <w:rsid w:val="2CB27185"/>
    <w:rsid w:val="2CB41CD9"/>
    <w:rsid w:val="2CC00534"/>
    <w:rsid w:val="2CF26F28"/>
    <w:rsid w:val="2CF62C08"/>
    <w:rsid w:val="2D0718FF"/>
    <w:rsid w:val="2D261309"/>
    <w:rsid w:val="2D2B1431"/>
    <w:rsid w:val="2D3A5FA1"/>
    <w:rsid w:val="2D3C73A5"/>
    <w:rsid w:val="2D6A1BA2"/>
    <w:rsid w:val="2D7A712B"/>
    <w:rsid w:val="2D7F6F21"/>
    <w:rsid w:val="2D86070D"/>
    <w:rsid w:val="2D8F2155"/>
    <w:rsid w:val="2D8F5892"/>
    <w:rsid w:val="2DC80216"/>
    <w:rsid w:val="2DD059B7"/>
    <w:rsid w:val="2DDE424B"/>
    <w:rsid w:val="2DEF350E"/>
    <w:rsid w:val="2E08688E"/>
    <w:rsid w:val="2E0A2685"/>
    <w:rsid w:val="2E157475"/>
    <w:rsid w:val="2E192FCC"/>
    <w:rsid w:val="2E1C3B55"/>
    <w:rsid w:val="2E244B92"/>
    <w:rsid w:val="2E301A69"/>
    <w:rsid w:val="2E3110B1"/>
    <w:rsid w:val="2E441EA7"/>
    <w:rsid w:val="2E4F0764"/>
    <w:rsid w:val="2E647745"/>
    <w:rsid w:val="2E854D46"/>
    <w:rsid w:val="2E953BDD"/>
    <w:rsid w:val="2E993CE6"/>
    <w:rsid w:val="2EA2720D"/>
    <w:rsid w:val="2EA74953"/>
    <w:rsid w:val="2EB6442B"/>
    <w:rsid w:val="2ECB010F"/>
    <w:rsid w:val="2ED11E06"/>
    <w:rsid w:val="2ED13AE9"/>
    <w:rsid w:val="2ED57DC7"/>
    <w:rsid w:val="2EDF365D"/>
    <w:rsid w:val="2EE34F82"/>
    <w:rsid w:val="2EFF48DB"/>
    <w:rsid w:val="2F162980"/>
    <w:rsid w:val="2F2906D3"/>
    <w:rsid w:val="2F2C726E"/>
    <w:rsid w:val="2F450F91"/>
    <w:rsid w:val="2F4B30E7"/>
    <w:rsid w:val="2F536A09"/>
    <w:rsid w:val="2F5628D9"/>
    <w:rsid w:val="2F570C04"/>
    <w:rsid w:val="2F68454B"/>
    <w:rsid w:val="2F6E5178"/>
    <w:rsid w:val="2F6F5435"/>
    <w:rsid w:val="2F8B4A6A"/>
    <w:rsid w:val="2F983499"/>
    <w:rsid w:val="2FA03052"/>
    <w:rsid w:val="2FA74230"/>
    <w:rsid w:val="2FAB4398"/>
    <w:rsid w:val="2FBB63AA"/>
    <w:rsid w:val="2FCC1562"/>
    <w:rsid w:val="2FE62DAC"/>
    <w:rsid w:val="2FEB469E"/>
    <w:rsid w:val="2FEE0D27"/>
    <w:rsid w:val="2FF1660F"/>
    <w:rsid w:val="3005446C"/>
    <w:rsid w:val="300E487C"/>
    <w:rsid w:val="301F186B"/>
    <w:rsid w:val="304E3CE7"/>
    <w:rsid w:val="305F2D07"/>
    <w:rsid w:val="306326A1"/>
    <w:rsid w:val="306B45E7"/>
    <w:rsid w:val="30796128"/>
    <w:rsid w:val="30874A80"/>
    <w:rsid w:val="308B2230"/>
    <w:rsid w:val="309A69AA"/>
    <w:rsid w:val="30A26815"/>
    <w:rsid w:val="30A338F5"/>
    <w:rsid w:val="30A73838"/>
    <w:rsid w:val="30AF3D0C"/>
    <w:rsid w:val="30BD0BCE"/>
    <w:rsid w:val="30BD2FFB"/>
    <w:rsid w:val="30C8016D"/>
    <w:rsid w:val="30CE0C05"/>
    <w:rsid w:val="30CF4562"/>
    <w:rsid w:val="30EA7A7A"/>
    <w:rsid w:val="30F913DF"/>
    <w:rsid w:val="31115A02"/>
    <w:rsid w:val="3112642B"/>
    <w:rsid w:val="31160E7F"/>
    <w:rsid w:val="311624C1"/>
    <w:rsid w:val="31165308"/>
    <w:rsid w:val="311B50B5"/>
    <w:rsid w:val="311D695D"/>
    <w:rsid w:val="31450C09"/>
    <w:rsid w:val="3152488A"/>
    <w:rsid w:val="315E22C4"/>
    <w:rsid w:val="315E3739"/>
    <w:rsid w:val="31616FE5"/>
    <w:rsid w:val="31721E0B"/>
    <w:rsid w:val="31785ADD"/>
    <w:rsid w:val="317A57AC"/>
    <w:rsid w:val="318F5DB3"/>
    <w:rsid w:val="319202A6"/>
    <w:rsid w:val="31E155A2"/>
    <w:rsid w:val="31F0605E"/>
    <w:rsid w:val="31FC2CF2"/>
    <w:rsid w:val="31FD236D"/>
    <w:rsid w:val="32005795"/>
    <w:rsid w:val="320764EA"/>
    <w:rsid w:val="320D7653"/>
    <w:rsid w:val="32167BBB"/>
    <w:rsid w:val="322023D6"/>
    <w:rsid w:val="32351B3E"/>
    <w:rsid w:val="323B1921"/>
    <w:rsid w:val="325242C4"/>
    <w:rsid w:val="3255265C"/>
    <w:rsid w:val="327721C3"/>
    <w:rsid w:val="32B9185B"/>
    <w:rsid w:val="32C03874"/>
    <w:rsid w:val="32C44DF3"/>
    <w:rsid w:val="32CE6677"/>
    <w:rsid w:val="32D867CA"/>
    <w:rsid w:val="32F317FF"/>
    <w:rsid w:val="32F5734F"/>
    <w:rsid w:val="32FD7060"/>
    <w:rsid w:val="331338E1"/>
    <w:rsid w:val="332253D2"/>
    <w:rsid w:val="332515A1"/>
    <w:rsid w:val="333A715A"/>
    <w:rsid w:val="33512BBA"/>
    <w:rsid w:val="3359701A"/>
    <w:rsid w:val="337A4A67"/>
    <w:rsid w:val="337A79C3"/>
    <w:rsid w:val="339F2397"/>
    <w:rsid w:val="33A25EC0"/>
    <w:rsid w:val="33AC16F7"/>
    <w:rsid w:val="33AF4D51"/>
    <w:rsid w:val="33D5514C"/>
    <w:rsid w:val="33D66FD3"/>
    <w:rsid w:val="33E11323"/>
    <w:rsid w:val="340659C1"/>
    <w:rsid w:val="342B1138"/>
    <w:rsid w:val="342B38C6"/>
    <w:rsid w:val="342E5A41"/>
    <w:rsid w:val="34327183"/>
    <w:rsid w:val="343D59C1"/>
    <w:rsid w:val="343D5CF3"/>
    <w:rsid w:val="3448417C"/>
    <w:rsid w:val="34675B85"/>
    <w:rsid w:val="34691D0C"/>
    <w:rsid w:val="34717B31"/>
    <w:rsid w:val="348867E6"/>
    <w:rsid w:val="349F1F54"/>
    <w:rsid w:val="34A84C5A"/>
    <w:rsid w:val="34C23891"/>
    <w:rsid w:val="34D67111"/>
    <w:rsid w:val="34DC4EFC"/>
    <w:rsid w:val="34F30DDF"/>
    <w:rsid w:val="350D0C3D"/>
    <w:rsid w:val="35251700"/>
    <w:rsid w:val="35274675"/>
    <w:rsid w:val="352D3401"/>
    <w:rsid w:val="353D07AE"/>
    <w:rsid w:val="353D3231"/>
    <w:rsid w:val="354F5D17"/>
    <w:rsid w:val="35597700"/>
    <w:rsid w:val="355B42E2"/>
    <w:rsid w:val="355C4D23"/>
    <w:rsid w:val="355E1F06"/>
    <w:rsid w:val="356248FB"/>
    <w:rsid w:val="35671456"/>
    <w:rsid w:val="35690796"/>
    <w:rsid w:val="356F2252"/>
    <w:rsid w:val="35912EFE"/>
    <w:rsid w:val="359312F4"/>
    <w:rsid w:val="359C4064"/>
    <w:rsid w:val="359C5E19"/>
    <w:rsid w:val="35AA17FA"/>
    <w:rsid w:val="35CE4CCB"/>
    <w:rsid w:val="35E63728"/>
    <w:rsid w:val="35EA3A88"/>
    <w:rsid w:val="3620192F"/>
    <w:rsid w:val="362A1EEA"/>
    <w:rsid w:val="36517A0D"/>
    <w:rsid w:val="36AA3FE5"/>
    <w:rsid w:val="36AF3FF7"/>
    <w:rsid w:val="36B33D9D"/>
    <w:rsid w:val="36B606BE"/>
    <w:rsid w:val="36BC3900"/>
    <w:rsid w:val="36CD1672"/>
    <w:rsid w:val="36EC6196"/>
    <w:rsid w:val="37017F21"/>
    <w:rsid w:val="371234AC"/>
    <w:rsid w:val="37241DA0"/>
    <w:rsid w:val="37262F0C"/>
    <w:rsid w:val="37280F61"/>
    <w:rsid w:val="372E592F"/>
    <w:rsid w:val="373364D3"/>
    <w:rsid w:val="37402EFB"/>
    <w:rsid w:val="374F15F8"/>
    <w:rsid w:val="374F63FE"/>
    <w:rsid w:val="375678E1"/>
    <w:rsid w:val="375B09F8"/>
    <w:rsid w:val="3775240F"/>
    <w:rsid w:val="37754104"/>
    <w:rsid w:val="37850E9E"/>
    <w:rsid w:val="37A14F49"/>
    <w:rsid w:val="37A64CEC"/>
    <w:rsid w:val="37AA6282"/>
    <w:rsid w:val="37B54C40"/>
    <w:rsid w:val="37C90B83"/>
    <w:rsid w:val="37E23FE2"/>
    <w:rsid w:val="37F046AF"/>
    <w:rsid w:val="37FA0C0D"/>
    <w:rsid w:val="381C2C44"/>
    <w:rsid w:val="382F3E55"/>
    <w:rsid w:val="383303B2"/>
    <w:rsid w:val="384C5BEC"/>
    <w:rsid w:val="384F0E62"/>
    <w:rsid w:val="385174E5"/>
    <w:rsid w:val="3856607E"/>
    <w:rsid w:val="38591C77"/>
    <w:rsid w:val="386B5D1F"/>
    <w:rsid w:val="38773A25"/>
    <w:rsid w:val="38957BA7"/>
    <w:rsid w:val="38965964"/>
    <w:rsid w:val="38A5432F"/>
    <w:rsid w:val="38B3345E"/>
    <w:rsid w:val="38CE6C87"/>
    <w:rsid w:val="38D019A4"/>
    <w:rsid w:val="38D259D6"/>
    <w:rsid w:val="38DE78EC"/>
    <w:rsid w:val="38F210CC"/>
    <w:rsid w:val="38FE59EF"/>
    <w:rsid w:val="38FFE9D3"/>
    <w:rsid w:val="390C0819"/>
    <w:rsid w:val="392229AC"/>
    <w:rsid w:val="39255F21"/>
    <w:rsid w:val="3926397A"/>
    <w:rsid w:val="392B3C0C"/>
    <w:rsid w:val="392D4E34"/>
    <w:rsid w:val="393677BA"/>
    <w:rsid w:val="3942743C"/>
    <w:rsid w:val="394617C2"/>
    <w:rsid w:val="394A11E1"/>
    <w:rsid w:val="395C264D"/>
    <w:rsid w:val="396F6521"/>
    <w:rsid w:val="39701D8F"/>
    <w:rsid w:val="39794E35"/>
    <w:rsid w:val="397A1735"/>
    <w:rsid w:val="397F5DBA"/>
    <w:rsid w:val="399D284F"/>
    <w:rsid w:val="39A27978"/>
    <w:rsid w:val="39A53ECA"/>
    <w:rsid w:val="39AB2755"/>
    <w:rsid w:val="39BD67F8"/>
    <w:rsid w:val="39BE20EC"/>
    <w:rsid w:val="39C547D9"/>
    <w:rsid w:val="39D735C1"/>
    <w:rsid w:val="39D82302"/>
    <w:rsid w:val="39D82D1D"/>
    <w:rsid w:val="39E47822"/>
    <w:rsid w:val="39FB550F"/>
    <w:rsid w:val="3A051944"/>
    <w:rsid w:val="3A063958"/>
    <w:rsid w:val="3A164C99"/>
    <w:rsid w:val="3A1A7A23"/>
    <w:rsid w:val="3A224DD3"/>
    <w:rsid w:val="3A292740"/>
    <w:rsid w:val="3A2C0F2C"/>
    <w:rsid w:val="3A300A32"/>
    <w:rsid w:val="3A361601"/>
    <w:rsid w:val="3A4211CB"/>
    <w:rsid w:val="3A595F7F"/>
    <w:rsid w:val="3A5C05E2"/>
    <w:rsid w:val="3A684FF4"/>
    <w:rsid w:val="3A6C61FC"/>
    <w:rsid w:val="3A6F388C"/>
    <w:rsid w:val="3A826454"/>
    <w:rsid w:val="3A8D6FFE"/>
    <w:rsid w:val="3A905190"/>
    <w:rsid w:val="3AA337B0"/>
    <w:rsid w:val="3AA72477"/>
    <w:rsid w:val="3AAA7F21"/>
    <w:rsid w:val="3AB5664B"/>
    <w:rsid w:val="3AC40A02"/>
    <w:rsid w:val="3AC613CB"/>
    <w:rsid w:val="3AC73DDA"/>
    <w:rsid w:val="3B0231D9"/>
    <w:rsid w:val="3B067F4E"/>
    <w:rsid w:val="3B1305E9"/>
    <w:rsid w:val="3B1938EF"/>
    <w:rsid w:val="3B2834F7"/>
    <w:rsid w:val="3B3E4CE9"/>
    <w:rsid w:val="3B4671A2"/>
    <w:rsid w:val="3B4E3847"/>
    <w:rsid w:val="3B5556D7"/>
    <w:rsid w:val="3B602C8B"/>
    <w:rsid w:val="3B6400EA"/>
    <w:rsid w:val="3B7544BA"/>
    <w:rsid w:val="3B9615D5"/>
    <w:rsid w:val="3B996C7A"/>
    <w:rsid w:val="3B9E7343"/>
    <w:rsid w:val="3BA22A5B"/>
    <w:rsid w:val="3BA63AEE"/>
    <w:rsid w:val="3BB96E80"/>
    <w:rsid w:val="3BBD69B9"/>
    <w:rsid w:val="3BD27691"/>
    <w:rsid w:val="3BDC25A0"/>
    <w:rsid w:val="3BF85A5C"/>
    <w:rsid w:val="3C06086D"/>
    <w:rsid w:val="3C073F79"/>
    <w:rsid w:val="3C0F02A4"/>
    <w:rsid w:val="3C145433"/>
    <w:rsid w:val="3C1B0656"/>
    <w:rsid w:val="3C1E08D4"/>
    <w:rsid w:val="3C330F61"/>
    <w:rsid w:val="3C355916"/>
    <w:rsid w:val="3C50175B"/>
    <w:rsid w:val="3C517D0D"/>
    <w:rsid w:val="3C6B6A63"/>
    <w:rsid w:val="3C6C07F3"/>
    <w:rsid w:val="3C7129B6"/>
    <w:rsid w:val="3C7E7EB9"/>
    <w:rsid w:val="3C9760C5"/>
    <w:rsid w:val="3C984482"/>
    <w:rsid w:val="3CA37F62"/>
    <w:rsid w:val="3CAF71D3"/>
    <w:rsid w:val="3CB31CB8"/>
    <w:rsid w:val="3CB446C8"/>
    <w:rsid w:val="3CC87926"/>
    <w:rsid w:val="3CC92302"/>
    <w:rsid w:val="3CCA634E"/>
    <w:rsid w:val="3CD60D50"/>
    <w:rsid w:val="3CF738CA"/>
    <w:rsid w:val="3CFA61B1"/>
    <w:rsid w:val="3D2110F1"/>
    <w:rsid w:val="3D250D18"/>
    <w:rsid w:val="3D356DE3"/>
    <w:rsid w:val="3D4D77A0"/>
    <w:rsid w:val="3D4F618E"/>
    <w:rsid w:val="3D5309E3"/>
    <w:rsid w:val="3D61319E"/>
    <w:rsid w:val="3D69134E"/>
    <w:rsid w:val="3D6B765E"/>
    <w:rsid w:val="3D73041F"/>
    <w:rsid w:val="3D796C9E"/>
    <w:rsid w:val="3D96046A"/>
    <w:rsid w:val="3D9F15F1"/>
    <w:rsid w:val="3DA019FE"/>
    <w:rsid w:val="3DA66EC9"/>
    <w:rsid w:val="3DAA4418"/>
    <w:rsid w:val="3DCA547F"/>
    <w:rsid w:val="3DF079B9"/>
    <w:rsid w:val="3DFC538A"/>
    <w:rsid w:val="3E096D1E"/>
    <w:rsid w:val="3E2E28D6"/>
    <w:rsid w:val="3E3332E9"/>
    <w:rsid w:val="3E363D3E"/>
    <w:rsid w:val="3E3728AA"/>
    <w:rsid w:val="3E394DE2"/>
    <w:rsid w:val="3E3A0985"/>
    <w:rsid w:val="3E3A6D43"/>
    <w:rsid w:val="3E3C468F"/>
    <w:rsid w:val="3E3D6019"/>
    <w:rsid w:val="3E3F119F"/>
    <w:rsid w:val="3E442503"/>
    <w:rsid w:val="3E4923CA"/>
    <w:rsid w:val="3E551345"/>
    <w:rsid w:val="3E5766CA"/>
    <w:rsid w:val="3E6E0D57"/>
    <w:rsid w:val="3E766DA5"/>
    <w:rsid w:val="3E767C7A"/>
    <w:rsid w:val="3E7A5493"/>
    <w:rsid w:val="3E8637A6"/>
    <w:rsid w:val="3EA10428"/>
    <w:rsid w:val="3EA4797A"/>
    <w:rsid w:val="3EAD4F2F"/>
    <w:rsid w:val="3EBC6DF2"/>
    <w:rsid w:val="3EDD7575"/>
    <w:rsid w:val="3EEB4BD6"/>
    <w:rsid w:val="3EEF4C7E"/>
    <w:rsid w:val="3F1E2615"/>
    <w:rsid w:val="3F1F3E1E"/>
    <w:rsid w:val="3F1F4419"/>
    <w:rsid w:val="3F250266"/>
    <w:rsid w:val="3F33431F"/>
    <w:rsid w:val="3F334ADA"/>
    <w:rsid w:val="3F3C0299"/>
    <w:rsid w:val="3F3D1662"/>
    <w:rsid w:val="3F5675F4"/>
    <w:rsid w:val="3F680422"/>
    <w:rsid w:val="3F6B3D2C"/>
    <w:rsid w:val="3F821A48"/>
    <w:rsid w:val="3F9419BD"/>
    <w:rsid w:val="3F962587"/>
    <w:rsid w:val="3F974EDB"/>
    <w:rsid w:val="3FA36A9A"/>
    <w:rsid w:val="3FA71E6D"/>
    <w:rsid w:val="3FA757A3"/>
    <w:rsid w:val="3FC53100"/>
    <w:rsid w:val="3FC540F6"/>
    <w:rsid w:val="3FCA629C"/>
    <w:rsid w:val="3FCE2E42"/>
    <w:rsid w:val="3FDE3662"/>
    <w:rsid w:val="3FEE48C6"/>
    <w:rsid w:val="3FF820F3"/>
    <w:rsid w:val="40094BF8"/>
    <w:rsid w:val="40095DBA"/>
    <w:rsid w:val="40173D04"/>
    <w:rsid w:val="401F4AFA"/>
    <w:rsid w:val="40290A13"/>
    <w:rsid w:val="402D77F9"/>
    <w:rsid w:val="403D1345"/>
    <w:rsid w:val="404675D3"/>
    <w:rsid w:val="40582D76"/>
    <w:rsid w:val="406319DE"/>
    <w:rsid w:val="4064551B"/>
    <w:rsid w:val="406A591F"/>
    <w:rsid w:val="406C1CA9"/>
    <w:rsid w:val="406F1DE8"/>
    <w:rsid w:val="40724465"/>
    <w:rsid w:val="407E552A"/>
    <w:rsid w:val="408C1B78"/>
    <w:rsid w:val="409764CE"/>
    <w:rsid w:val="40994BDD"/>
    <w:rsid w:val="40AE055B"/>
    <w:rsid w:val="40BE04F0"/>
    <w:rsid w:val="40C67074"/>
    <w:rsid w:val="40E07C0F"/>
    <w:rsid w:val="40F17074"/>
    <w:rsid w:val="41056B5C"/>
    <w:rsid w:val="41147F42"/>
    <w:rsid w:val="411755AB"/>
    <w:rsid w:val="412E131E"/>
    <w:rsid w:val="414004A4"/>
    <w:rsid w:val="41454DB6"/>
    <w:rsid w:val="416042BB"/>
    <w:rsid w:val="41633413"/>
    <w:rsid w:val="41696E1F"/>
    <w:rsid w:val="416B0644"/>
    <w:rsid w:val="416B081F"/>
    <w:rsid w:val="416F3038"/>
    <w:rsid w:val="41723D7C"/>
    <w:rsid w:val="41877E0B"/>
    <w:rsid w:val="418D4946"/>
    <w:rsid w:val="418F4669"/>
    <w:rsid w:val="419253D3"/>
    <w:rsid w:val="419E7BF0"/>
    <w:rsid w:val="41A84D23"/>
    <w:rsid w:val="41AB6AF6"/>
    <w:rsid w:val="41BD5252"/>
    <w:rsid w:val="41C63183"/>
    <w:rsid w:val="41E35BBA"/>
    <w:rsid w:val="41E4373C"/>
    <w:rsid w:val="41F030CB"/>
    <w:rsid w:val="41FC26D5"/>
    <w:rsid w:val="42021AEF"/>
    <w:rsid w:val="420D0A76"/>
    <w:rsid w:val="42140778"/>
    <w:rsid w:val="42150BBA"/>
    <w:rsid w:val="42157533"/>
    <w:rsid w:val="421E5590"/>
    <w:rsid w:val="423A3416"/>
    <w:rsid w:val="423A582E"/>
    <w:rsid w:val="424A4812"/>
    <w:rsid w:val="42554D1D"/>
    <w:rsid w:val="42583354"/>
    <w:rsid w:val="42685541"/>
    <w:rsid w:val="428B2F7E"/>
    <w:rsid w:val="42924CF3"/>
    <w:rsid w:val="42A64D22"/>
    <w:rsid w:val="42AB42BF"/>
    <w:rsid w:val="42C43EE6"/>
    <w:rsid w:val="42CE701B"/>
    <w:rsid w:val="42D85DB7"/>
    <w:rsid w:val="42DE031B"/>
    <w:rsid w:val="42E354EC"/>
    <w:rsid w:val="42E832DE"/>
    <w:rsid w:val="42FB7E7F"/>
    <w:rsid w:val="430A78AE"/>
    <w:rsid w:val="430C1D48"/>
    <w:rsid w:val="431E6AF3"/>
    <w:rsid w:val="43205C7F"/>
    <w:rsid w:val="43257016"/>
    <w:rsid w:val="433D2C1C"/>
    <w:rsid w:val="43413B7B"/>
    <w:rsid w:val="43460063"/>
    <w:rsid w:val="43524555"/>
    <w:rsid w:val="43640F70"/>
    <w:rsid w:val="436A6A1E"/>
    <w:rsid w:val="436E51DA"/>
    <w:rsid w:val="437D6A3C"/>
    <w:rsid w:val="438A7147"/>
    <w:rsid w:val="438E2028"/>
    <w:rsid w:val="43904018"/>
    <w:rsid w:val="43922D92"/>
    <w:rsid w:val="439C6947"/>
    <w:rsid w:val="43A601E4"/>
    <w:rsid w:val="43B440EE"/>
    <w:rsid w:val="43C4213D"/>
    <w:rsid w:val="43C94826"/>
    <w:rsid w:val="43CC6F15"/>
    <w:rsid w:val="43DD2C11"/>
    <w:rsid w:val="43E244E9"/>
    <w:rsid w:val="43F34341"/>
    <w:rsid w:val="43FE33A9"/>
    <w:rsid w:val="44027A4A"/>
    <w:rsid w:val="441736D2"/>
    <w:rsid w:val="442723BC"/>
    <w:rsid w:val="442A2EAE"/>
    <w:rsid w:val="4432125A"/>
    <w:rsid w:val="44511364"/>
    <w:rsid w:val="44516F3D"/>
    <w:rsid w:val="44591E98"/>
    <w:rsid w:val="445C01E0"/>
    <w:rsid w:val="4466573F"/>
    <w:rsid w:val="446F1150"/>
    <w:rsid w:val="44762A61"/>
    <w:rsid w:val="44897420"/>
    <w:rsid w:val="44960266"/>
    <w:rsid w:val="44983063"/>
    <w:rsid w:val="449A1985"/>
    <w:rsid w:val="44AB4AD4"/>
    <w:rsid w:val="44B1329D"/>
    <w:rsid w:val="44B66E8A"/>
    <w:rsid w:val="44C11BD7"/>
    <w:rsid w:val="44C55DBF"/>
    <w:rsid w:val="44C56FA2"/>
    <w:rsid w:val="44C70D28"/>
    <w:rsid w:val="44E3053F"/>
    <w:rsid w:val="44E46682"/>
    <w:rsid w:val="44E95CA8"/>
    <w:rsid w:val="44EE3D02"/>
    <w:rsid w:val="44F519C9"/>
    <w:rsid w:val="452E1C3D"/>
    <w:rsid w:val="452F60B6"/>
    <w:rsid w:val="45496F5A"/>
    <w:rsid w:val="454E45B6"/>
    <w:rsid w:val="45660800"/>
    <w:rsid w:val="45694F1A"/>
    <w:rsid w:val="45785484"/>
    <w:rsid w:val="457E0D75"/>
    <w:rsid w:val="458E6E21"/>
    <w:rsid w:val="45941A86"/>
    <w:rsid w:val="45B02047"/>
    <w:rsid w:val="45CA2B79"/>
    <w:rsid w:val="45CC5ADE"/>
    <w:rsid w:val="45CF6284"/>
    <w:rsid w:val="45FC0C31"/>
    <w:rsid w:val="45FC59F2"/>
    <w:rsid w:val="46070C2E"/>
    <w:rsid w:val="461D4BCF"/>
    <w:rsid w:val="461F5BF5"/>
    <w:rsid w:val="462117F4"/>
    <w:rsid w:val="46262D84"/>
    <w:rsid w:val="462A474C"/>
    <w:rsid w:val="462C7DCA"/>
    <w:rsid w:val="4631154C"/>
    <w:rsid w:val="46355262"/>
    <w:rsid w:val="463E0388"/>
    <w:rsid w:val="464030A9"/>
    <w:rsid w:val="46406F6B"/>
    <w:rsid w:val="464D6F6F"/>
    <w:rsid w:val="46507A60"/>
    <w:rsid w:val="465B524A"/>
    <w:rsid w:val="46611681"/>
    <w:rsid w:val="466977C9"/>
    <w:rsid w:val="466B2963"/>
    <w:rsid w:val="466B51E7"/>
    <w:rsid w:val="466F234F"/>
    <w:rsid w:val="467A6E56"/>
    <w:rsid w:val="4682328C"/>
    <w:rsid w:val="469626CC"/>
    <w:rsid w:val="46994237"/>
    <w:rsid w:val="46B64789"/>
    <w:rsid w:val="46CA3D8F"/>
    <w:rsid w:val="46D42941"/>
    <w:rsid w:val="46D74DAB"/>
    <w:rsid w:val="46DE28A9"/>
    <w:rsid w:val="46DE7056"/>
    <w:rsid w:val="46F30172"/>
    <w:rsid w:val="46F31F04"/>
    <w:rsid w:val="46F45A75"/>
    <w:rsid w:val="46F90EF0"/>
    <w:rsid w:val="46FE07D4"/>
    <w:rsid w:val="4703731B"/>
    <w:rsid w:val="471C5027"/>
    <w:rsid w:val="47234C01"/>
    <w:rsid w:val="473320A5"/>
    <w:rsid w:val="473405D7"/>
    <w:rsid w:val="474661FE"/>
    <w:rsid w:val="475705C8"/>
    <w:rsid w:val="475E2CBA"/>
    <w:rsid w:val="477E7DFD"/>
    <w:rsid w:val="478140BA"/>
    <w:rsid w:val="478B36BC"/>
    <w:rsid w:val="479279DF"/>
    <w:rsid w:val="47935BE3"/>
    <w:rsid w:val="47A53B5A"/>
    <w:rsid w:val="47A84642"/>
    <w:rsid w:val="47B05089"/>
    <w:rsid w:val="47BF13AF"/>
    <w:rsid w:val="47CF5E61"/>
    <w:rsid w:val="47E252AA"/>
    <w:rsid w:val="47E5550D"/>
    <w:rsid w:val="480D174F"/>
    <w:rsid w:val="48125321"/>
    <w:rsid w:val="48125B63"/>
    <w:rsid w:val="482B6BD9"/>
    <w:rsid w:val="484736E0"/>
    <w:rsid w:val="484A4DD7"/>
    <w:rsid w:val="486527D0"/>
    <w:rsid w:val="48652B5D"/>
    <w:rsid w:val="4866784F"/>
    <w:rsid w:val="486D572D"/>
    <w:rsid w:val="48705D8B"/>
    <w:rsid w:val="487648CB"/>
    <w:rsid w:val="487D066B"/>
    <w:rsid w:val="489E4291"/>
    <w:rsid w:val="48AE7199"/>
    <w:rsid w:val="48C03058"/>
    <w:rsid w:val="48D47BC2"/>
    <w:rsid w:val="48E208B6"/>
    <w:rsid w:val="48E513E5"/>
    <w:rsid w:val="48EA76B0"/>
    <w:rsid w:val="48FB0136"/>
    <w:rsid w:val="48FB0245"/>
    <w:rsid w:val="48FC4CB4"/>
    <w:rsid w:val="490B7FF8"/>
    <w:rsid w:val="490D0C51"/>
    <w:rsid w:val="49111E34"/>
    <w:rsid w:val="49436329"/>
    <w:rsid w:val="494E17F4"/>
    <w:rsid w:val="495521F8"/>
    <w:rsid w:val="49565E96"/>
    <w:rsid w:val="497C5E18"/>
    <w:rsid w:val="49815A51"/>
    <w:rsid w:val="49862C60"/>
    <w:rsid w:val="498D28B4"/>
    <w:rsid w:val="498F031D"/>
    <w:rsid w:val="499978B3"/>
    <w:rsid w:val="49A83292"/>
    <w:rsid w:val="49B43FF2"/>
    <w:rsid w:val="49BE2DCD"/>
    <w:rsid w:val="49D41C4F"/>
    <w:rsid w:val="49D657B2"/>
    <w:rsid w:val="49E37524"/>
    <w:rsid w:val="49E37D4C"/>
    <w:rsid w:val="49E60A50"/>
    <w:rsid w:val="49ED54E3"/>
    <w:rsid w:val="49FB01AB"/>
    <w:rsid w:val="49FC65A5"/>
    <w:rsid w:val="49FD427A"/>
    <w:rsid w:val="4A0111EF"/>
    <w:rsid w:val="4A0133A8"/>
    <w:rsid w:val="4A016790"/>
    <w:rsid w:val="4A24027C"/>
    <w:rsid w:val="4A563F2C"/>
    <w:rsid w:val="4A571149"/>
    <w:rsid w:val="4A7416A0"/>
    <w:rsid w:val="4A8C270D"/>
    <w:rsid w:val="4A8D2C5C"/>
    <w:rsid w:val="4A9A1B8A"/>
    <w:rsid w:val="4A9D7DB8"/>
    <w:rsid w:val="4A9F2953"/>
    <w:rsid w:val="4AA0458F"/>
    <w:rsid w:val="4AA61ECF"/>
    <w:rsid w:val="4AA71A88"/>
    <w:rsid w:val="4AA859CE"/>
    <w:rsid w:val="4AAF0C1C"/>
    <w:rsid w:val="4ABD1694"/>
    <w:rsid w:val="4ABD5B22"/>
    <w:rsid w:val="4AC7663A"/>
    <w:rsid w:val="4AD81049"/>
    <w:rsid w:val="4AD859EC"/>
    <w:rsid w:val="4AE6320C"/>
    <w:rsid w:val="4AF0638F"/>
    <w:rsid w:val="4AF85B33"/>
    <w:rsid w:val="4AFC16B3"/>
    <w:rsid w:val="4AFF25F5"/>
    <w:rsid w:val="4B044F4F"/>
    <w:rsid w:val="4B25424E"/>
    <w:rsid w:val="4B511575"/>
    <w:rsid w:val="4B722FF2"/>
    <w:rsid w:val="4B877CD9"/>
    <w:rsid w:val="4BA65EAC"/>
    <w:rsid w:val="4BB006E5"/>
    <w:rsid w:val="4BB059A0"/>
    <w:rsid w:val="4BB40B5A"/>
    <w:rsid w:val="4BB5717A"/>
    <w:rsid w:val="4BC402A7"/>
    <w:rsid w:val="4BF50EA7"/>
    <w:rsid w:val="4C030FCF"/>
    <w:rsid w:val="4C0F5A9B"/>
    <w:rsid w:val="4C1807F6"/>
    <w:rsid w:val="4C243B4E"/>
    <w:rsid w:val="4C4A4856"/>
    <w:rsid w:val="4C5C7E48"/>
    <w:rsid w:val="4C611FD7"/>
    <w:rsid w:val="4C641376"/>
    <w:rsid w:val="4C735236"/>
    <w:rsid w:val="4C8F0DE9"/>
    <w:rsid w:val="4CB5190A"/>
    <w:rsid w:val="4CBD796F"/>
    <w:rsid w:val="4CC13489"/>
    <w:rsid w:val="4CC85671"/>
    <w:rsid w:val="4CD12C87"/>
    <w:rsid w:val="4CD859E2"/>
    <w:rsid w:val="4CEE3CE2"/>
    <w:rsid w:val="4D00374B"/>
    <w:rsid w:val="4D135344"/>
    <w:rsid w:val="4D135E34"/>
    <w:rsid w:val="4D142D34"/>
    <w:rsid w:val="4D271083"/>
    <w:rsid w:val="4D2C0F5D"/>
    <w:rsid w:val="4D41297D"/>
    <w:rsid w:val="4D422CD3"/>
    <w:rsid w:val="4D5071D3"/>
    <w:rsid w:val="4D5901E2"/>
    <w:rsid w:val="4D76358D"/>
    <w:rsid w:val="4D8D76CF"/>
    <w:rsid w:val="4D9952C2"/>
    <w:rsid w:val="4DA2126A"/>
    <w:rsid w:val="4DA64FCE"/>
    <w:rsid w:val="4DB12BD1"/>
    <w:rsid w:val="4DB53485"/>
    <w:rsid w:val="4DD06A7A"/>
    <w:rsid w:val="4DD331F5"/>
    <w:rsid w:val="4DD55A3D"/>
    <w:rsid w:val="4DF435F0"/>
    <w:rsid w:val="4DF874CF"/>
    <w:rsid w:val="4E0849B8"/>
    <w:rsid w:val="4E105EE3"/>
    <w:rsid w:val="4E2F1F4C"/>
    <w:rsid w:val="4E304569"/>
    <w:rsid w:val="4E4B3EE3"/>
    <w:rsid w:val="4E541901"/>
    <w:rsid w:val="4E545F32"/>
    <w:rsid w:val="4E755434"/>
    <w:rsid w:val="4E7B18B2"/>
    <w:rsid w:val="4E7B669D"/>
    <w:rsid w:val="4E8648A2"/>
    <w:rsid w:val="4E8805E2"/>
    <w:rsid w:val="4EAE11A8"/>
    <w:rsid w:val="4EB44C13"/>
    <w:rsid w:val="4EBB5ABE"/>
    <w:rsid w:val="4EBC6108"/>
    <w:rsid w:val="4EBF7A92"/>
    <w:rsid w:val="4ED0337F"/>
    <w:rsid w:val="4ED103BA"/>
    <w:rsid w:val="4ED22487"/>
    <w:rsid w:val="4EE37A61"/>
    <w:rsid w:val="4EEB5D5A"/>
    <w:rsid w:val="4EFE3A5B"/>
    <w:rsid w:val="4F0E4D3C"/>
    <w:rsid w:val="4F1224DA"/>
    <w:rsid w:val="4F2C6485"/>
    <w:rsid w:val="4F2D14E0"/>
    <w:rsid w:val="4F4375D4"/>
    <w:rsid w:val="4F5035B5"/>
    <w:rsid w:val="4F525795"/>
    <w:rsid w:val="4F60392B"/>
    <w:rsid w:val="4F680CB0"/>
    <w:rsid w:val="4F8D18A5"/>
    <w:rsid w:val="4F93218E"/>
    <w:rsid w:val="4F947F5F"/>
    <w:rsid w:val="4FBD04F9"/>
    <w:rsid w:val="4FBF7DB6"/>
    <w:rsid w:val="4FC8589B"/>
    <w:rsid w:val="4FD1196E"/>
    <w:rsid w:val="4FF34CFD"/>
    <w:rsid w:val="4FF65CAD"/>
    <w:rsid w:val="4FFB6F1B"/>
    <w:rsid w:val="50006507"/>
    <w:rsid w:val="501C3A50"/>
    <w:rsid w:val="501F5F82"/>
    <w:rsid w:val="502C6BFE"/>
    <w:rsid w:val="504B4B89"/>
    <w:rsid w:val="504D1837"/>
    <w:rsid w:val="505646BD"/>
    <w:rsid w:val="505E18F4"/>
    <w:rsid w:val="50761462"/>
    <w:rsid w:val="508B388E"/>
    <w:rsid w:val="50923C93"/>
    <w:rsid w:val="50AD2879"/>
    <w:rsid w:val="50B741D4"/>
    <w:rsid w:val="50B90619"/>
    <w:rsid w:val="50BB2C80"/>
    <w:rsid w:val="50BE3510"/>
    <w:rsid w:val="50C26C1E"/>
    <w:rsid w:val="50CD180F"/>
    <w:rsid w:val="50E35899"/>
    <w:rsid w:val="51013EC6"/>
    <w:rsid w:val="51066188"/>
    <w:rsid w:val="51142518"/>
    <w:rsid w:val="51275108"/>
    <w:rsid w:val="512A6DD2"/>
    <w:rsid w:val="512F2EA1"/>
    <w:rsid w:val="51627754"/>
    <w:rsid w:val="5165503A"/>
    <w:rsid w:val="517D233F"/>
    <w:rsid w:val="5188293F"/>
    <w:rsid w:val="518C5C55"/>
    <w:rsid w:val="518E5FFF"/>
    <w:rsid w:val="51AA7FFE"/>
    <w:rsid w:val="51B43DD3"/>
    <w:rsid w:val="51B5159F"/>
    <w:rsid w:val="51D242ED"/>
    <w:rsid w:val="51E622CF"/>
    <w:rsid w:val="51EA0983"/>
    <w:rsid w:val="51EE2EEE"/>
    <w:rsid w:val="51FA5ED8"/>
    <w:rsid w:val="520E1247"/>
    <w:rsid w:val="522F0757"/>
    <w:rsid w:val="52372EB9"/>
    <w:rsid w:val="52526125"/>
    <w:rsid w:val="52571C07"/>
    <w:rsid w:val="525830F6"/>
    <w:rsid w:val="52656099"/>
    <w:rsid w:val="526A748E"/>
    <w:rsid w:val="527F004B"/>
    <w:rsid w:val="528503F7"/>
    <w:rsid w:val="528564ED"/>
    <w:rsid w:val="528D0D84"/>
    <w:rsid w:val="5296506C"/>
    <w:rsid w:val="529B6CC3"/>
    <w:rsid w:val="529D3365"/>
    <w:rsid w:val="52B60A87"/>
    <w:rsid w:val="52B71B15"/>
    <w:rsid w:val="52B8207F"/>
    <w:rsid w:val="52BF2830"/>
    <w:rsid w:val="52BF53B3"/>
    <w:rsid w:val="52D60F11"/>
    <w:rsid w:val="52D95130"/>
    <w:rsid w:val="52E65D03"/>
    <w:rsid w:val="52F70701"/>
    <w:rsid w:val="52FD3798"/>
    <w:rsid w:val="53036157"/>
    <w:rsid w:val="530A03E2"/>
    <w:rsid w:val="530E7207"/>
    <w:rsid w:val="5329480D"/>
    <w:rsid w:val="533656B4"/>
    <w:rsid w:val="533A72D2"/>
    <w:rsid w:val="533D3BAB"/>
    <w:rsid w:val="53423484"/>
    <w:rsid w:val="53466802"/>
    <w:rsid w:val="5349641E"/>
    <w:rsid w:val="53514987"/>
    <w:rsid w:val="53673897"/>
    <w:rsid w:val="53700295"/>
    <w:rsid w:val="538B63E5"/>
    <w:rsid w:val="539C215C"/>
    <w:rsid w:val="53A22979"/>
    <w:rsid w:val="53A23BA8"/>
    <w:rsid w:val="53A45569"/>
    <w:rsid w:val="53AE0C49"/>
    <w:rsid w:val="53B375E7"/>
    <w:rsid w:val="53B77D76"/>
    <w:rsid w:val="53C115A8"/>
    <w:rsid w:val="53DB0FFF"/>
    <w:rsid w:val="53E12EC9"/>
    <w:rsid w:val="53EE5E3B"/>
    <w:rsid w:val="53F114BC"/>
    <w:rsid w:val="54005176"/>
    <w:rsid w:val="540E3CFF"/>
    <w:rsid w:val="54174C88"/>
    <w:rsid w:val="54221E45"/>
    <w:rsid w:val="542F455C"/>
    <w:rsid w:val="543377D2"/>
    <w:rsid w:val="54360F93"/>
    <w:rsid w:val="544A7F72"/>
    <w:rsid w:val="5455288E"/>
    <w:rsid w:val="546623DE"/>
    <w:rsid w:val="547E43C3"/>
    <w:rsid w:val="548A534D"/>
    <w:rsid w:val="548C570A"/>
    <w:rsid w:val="54A51ED9"/>
    <w:rsid w:val="54B54A7D"/>
    <w:rsid w:val="54BF7B93"/>
    <w:rsid w:val="54EE00E6"/>
    <w:rsid w:val="550148E2"/>
    <w:rsid w:val="55223D17"/>
    <w:rsid w:val="552D4396"/>
    <w:rsid w:val="553637B1"/>
    <w:rsid w:val="554B32C0"/>
    <w:rsid w:val="556271C8"/>
    <w:rsid w:val="557F3544"/>
    <w:rsid w:val="5582549B"/>
    <w:rsid w:val="559668DC"/>
    <w:rsid w:val="559E1872"/>
    <w:rsid w:val="559F4A9F"/>
    <w:rsid w:val="55A450D5"/>
    <w:rsid w:val="55B90C3B"/>
    <w:rsid w:val="55B9733C"/>
    <w:rsid w:val="55C151C6"/>
    <w:rsid w:val="55C50F7C"/>
    <w:rsid w:val="55E01540"/>
    <w:rsid w:val="55F26E27"/>
    <w:rsid w:val="55F77421"/>
    <w:rsid w:val="55FC196F"/>
    <w:rsid w:val="56006BCE"/>
    <w:rsid w:val="560658C1"/>
    <w:rsid w:val="561511E6"/>
    <w:rsid w:val="561F7A33"/>
    <w:rsid w:val="56396761"/>
    <w:rsid w:val="563D31D5"/>
    <w:rsid w:val="564330AA"/>
    <w:rsid w:val="56450F0C"/>
    <w:rsid w:val="56625BDE"/>
    <w:rsid w:val="56775F32"/>
    <w:rsid w:val="567E1876"/>
    <w:rsid w:val="56884B58"/>
    <w:rsid w:val="568C3ED9"/>
    <w:rsid w:val="56A23B26"/>
    <w:rsid w:val="56B70564"/>
    <w:rsid w:val="56B812EC"/>
    <w:rsid w:val="56B9541F"/>
    <w:rsid w:val="56BD2106"/>
    <w:rsid w:val="56CB4933"/>
    <w:rsid w:val="56F21F9C"/>
    <w:rsid w:val="57105EF6"/>
    <w:rsid w:val="57185BC4"/>
    <w:rsid w:val="573645D7"/>
    <w:rsid w:val="575B3DBF"/>
    <w:rsid w:val="57661B56"/>
    <w:rsid w:val="576D5940"/>
    <w:rsid w:val="57785731"/>
    <w:rsid w:val="57813D40"/>
    <w:rsid w:val="57842620"/>
    <w:rsid w:val="578C014D"/>
    <w:rsid w:val="578E4FB0"/>
    <w:rsid w:val="57BE26AF"/>
    <w:rsid w:val="57C21512"/>
    <w:rsid w:val="57C2629A"/>
    <w:rsid w:val="57C52764"/>
    <w:rsid w:val="57CF404B"/>
    <w:rsid w:val="57D15132"/>
    <w:rsid w:val="57DD7A3B"/>
    <w:rsid w:val="57DF49A2"/>
    <w:rsid w:val="57DF51C1"/>
    <w:rsid w:val="57E07C1C"/>
    <w:rsid w:val="57E715E0"/>
    <w:rsid w:val="57ED47FC"/>
    <w:rsid w:val="57F324FB"/>
    <w:rsid w:val="57F93E72"/>
    <w:rsid w:val="57FFAF45"/>
    <w:rsid w:val="58093716"/>
    <w:rsid w:val="580D07C4"/>
    <w:rsid w:val="582D3C42"/>
    <w:rsid w:val="582F1E29"/>
    <w:rsid w:val="58343124"/>
    <w:rsid w:val="586E01B4"/>
    <w:rsid w:val="587344D1"/>
    <w:rsid w:val="58A12431"/>
    <w:rsid w:val="58D630FB"/>
    <w:rsid w:val="58DE7D7F"/>
    <w:rsid w:val="58E5795A"/>
    <w:rsid w:val="58ED269C"/>
    <w:rsid w:val="58F51814"/>
    <w:rsid w:val="58FD5582"/>
    <w:rsid w:val="590708AE"/>
    <w:rsid w:val="59072474"/>
    <w:rsid w:val="5931524E"/>
    <w:rsid w:val="5934257F"/>
    <w:rsid w:val="596A5123"/>
    <w:rsid w:val="59815AB4"/>
    <w:rsid w:val="59992F77"/>
    <w:rsid w:val="599A7B0A"/>
    <w:rsid w:val="599B15E8"/>
    <w:rsid w:val="59A51704"/>
    <w:rsid w:val="59A85A7E"/>
    <w:rsid w:val="59AA3BD4"/>
    <w:rsid w:val="59B6706F"/>
    <w:rsid w:val="59B755D4"/>
    <w:rsid w:val="59E162FA"/>
    <w:rsid w:val="59EB5ADD"/>
    <w:rsid w:val="59EE0E9D"/>
    <w:rsid w:val="59F075E5"/>
    <w:rsid w:val="59F77F45"/>
    <w:rsid w:val="5A045F5C"/>
    <w:rsid w:val="5A1328D5"/>
    <w:rsid w:val="5A141E5B"/>
    <w:rsid w:val="5A2133FC"/>
    <w:rsid w:val="5A217199"/>
    <w:rsid w:val="5A2B702A"/>
    <w:rsid w:val="5A3829A1"/>
    <w:rsid w:val="5A3E6B03"/>
    <w:rsid w:val="5A414940"/>
    <w:rsid w:val="5A6F2167"/>
    <w:rsid w:val="5A6F533B"/>
    <w:rsid w:val="5A7B0D86"/>
    <w:rsid w:val="5A8D5927"/>
    <w:rsid w:val="5A924E58"/>
    <w:rsid w:val="5A933601"/>
    <w:rsid w:val="5AAF0A61"/>
    <w:rsid w:val="5ABA6DA6"/>
    <w:rsid w:val="5AC17F98"/>
    <w:rsid w:val="5ACC4B5A"/>
    <w:rsid w:val="5ACF6253"/>
    <w:rsid w:val="5AE57388"/>
    <w:rsid w:val="5AE67CD7"/>
    <w:rsid w:val="5AF13958"/>
    <w:rsid w:val="5B0071ED"/>
    <w:rsid w:val="5B045963"/>
    <w:rsid w:val="5B0A7340"/>
    <w:rsid w:val="5B0D3010"/>
    <w:rsid w:val="5B107D18"/>
    <w:rsid w:val="5B152A42"/>
    <w:rsid w:val="5B225E1B"/>
    <w:rsid w:val="5B4A6794"/>
    <w:rsid w:val="5B5F74CC"/>
    <w:rsid w:val="5B6834E5"/>
    <w:rsid w:val="5B6A5B29"/>
    <w:rsid w:val="5B7414DA"/>
    <w:rsid w:val="5B7454F8"/>
    <w:rsid w:val="5B745A96"/>
    <w:rsid w:val="5B784A97"/>
    <w:rsid w:val="5B7A2602"/>
    <w:rsid w:val="5B817C7A"/>
    <w:rsid w:val="5B8329A1"/>
    <w:rsid w:val="5B862BDF"/>
    <w:rsid w:val="5B8D23C3"/>
    <w:rsid w:val="5B8F3986"/>
    <w:rsid w:val="5BA07A57"/>
    <w:rsid w:val="5BC1786D"/>
    <w:rsid w:val="5BC35070"/>
    <w:rsid w:val="5BCF795B"/>
    <w:rsid w:val="5BD33963"/>
    <w:rsid w:val="5C152611"/>
    <w:rsid w:val="5C1C135F"/>
    <w:rsid w:val="5C492DDE"/>
    <w:rsid w:val="5C4D7EF3"/>
    <w:rsid w:val="5C51480A"/>
    <w:rsid w:val="5C5177A8"/>
    <w:rsid w:val="5C5960FA"/>
    <w:rsid w:val="5C6D4BEE"/>
    <w:rsid w:val="5C725E3D"/>
    <w:rsid w:val="5C7976E7"/>
    <w:rsid w:val="5C88301E"/>
    <w:rsid w:val="5C8E613B"/>
    <w:rsid w:val="5CB65A92"/>
    <w:rsid w:val="5CC22FA1"/>
    <w:rsid w:val="5CD55AB1"/>
    <w:rsid w:val="5CDF4ED0"/>
    <w:rsid w:val="5CEB314D"/>
    <w:rsid w:val="5CEB7FBD"/>
    <w:rsid w:val="5CF50E41"/>
    <w:rsid w:val="5D1253A4"/>
    <w:rsid w:val="5D171D46"/>
    <w:rsid w:val="5D275CC8"/>
    <w:rsid w:val="5D2E0784"/>
    <w:rsid w:val="5D421DC8"/>
    <w:rsid w:val="5D464AF1"/>
    <w:rsid w:val="5D67123A"/>
    <w:rsid w:val="5D6D3706"/>
    <w:rsid w:val="5D7415AC"/>
    <w:rsid w:val="5D742240"/>
    <w:rsid w:val="5D74602B"/>
    <w:rsid w:val="5D7A773F"/>
    <w:rsid w:val="5D7D6D2A"/>
    <w:rsid w:val="5D875E43"/>
    <w:rsid w:val="5D883266"/>
    <w:rsid w:val="5D8B5929"/>
    <w:rsid w:val="5D992846"/>
    <w:rsid w:val="5DBE7145"/>
    <w:rsid w:val="5DC03C97"/>
    <w:rsid w:val="5DD7525E"/>
    <w:rsid w:val="5DF31EA9"/>
    <w:rsid w:val="5E051A40"/>
    <w:rsid w:val="5E0D4EFE"/>
    <w:rsid w:val="5E0E0783"/>
    <w:rsid w:val="5E0F6CCA"/>
    <w:rsid w:val="5E2E1A1E"/>
    <w:rsid w:val="5E3848D8"/>
    <w:rsid w:val="5E3F2CE9"/>
    <w:rsid w:val="5E582B20"/>
    <w:rsid w:val="5E5F0582"/>
    <w:rsid w:val="5E6B178A"/>
    <w:rsid w:val="5E766AAF"/>
    <w:rsid w:val="5E7722A1"/>
    <w:rsid w:val="5E8773BD"/>
    <w:rsid w:val="5E944FA5"/>
    <w:rsid w:val="5EA10BA2"/>
    <w:rsid w:val="5EB04F8D"/>
    <w:rsid w:val="5EB05B2C"/>
    <w:rsid w:val="5EB4377B"/>
    <w:rsid w:val="5EBA4DDC"/>
    <w:rsid w:val="5EBD226B"/>
    <w:rsid w:val="5EC327AB"/>
    <w:rsid w:val="5ECC37D4"/>
    <w:rsid w:val="5ED029E1"/>
    <w:rsid w:val="5EDFA36D"/>
    <w:rsid w:val="5EE52D92"/>
    <w:rsid w:val="5EF011B8"/>
    <w:rsid w:val="5EFD68EA"/>
    <w:rsid w:val="5F143439"/>
    <w:rsid w:val="5F1752DE"/>
    <w:rsid w:val="5F217812"/>
    <w:rsid w:val="5F37767B"/>
    <w:rsid w:val="5F536842"/>
    <w:rsid w:val="5F585536"/>
    <w:rsid w:val="5F5932DA"/>
    <w:rsid w:val="5F7114FD"/>
    <w:rsid w:val="5F8065F5"/>
    <w:rsid w:val="5F8851FF"/>
    <w:rsid w:val="5F89637E"/>
    <w:rsid w:val="5F8A57E5"/>
    <w:rsid w:val="5F8D788E"/>
    <w:rsid w:val="5FA10660"/>
    <w:rsid w:val="5FA136CD"/>
    <w:rsid w:val="5FAB11C1"/>
    <w:rsid w:val="5FBA49D4"/>
    <w:rsid w:val="5FC16BAF"/>
    <w:rsid w:val="5FC16C8E"/>
    <w:rsid w:val="5FC26B0B"/>
    <w:rsid w:val="5FC35A8A"/>
    <w:rsid w:val="5FD87FDD"/>
    <w:rsid w:val="5FDC529C"/>
    <w:rsid w:val="5FE4017F"/>
    <w:rsid w:val="5FEB4BEF"/>
    <w:rsid w:val="600F0DB4"/>
    <w:rsid w:val="601D1F8F"/>
    <w:rsid w:val="60247576"/>
    <w:rsid w:val="60287AF6"/>
    <w:rsid w:val="602E7E5B"/>
    <w:rsid w:val="60315495"/>
    <w:rsid w:val="6031791B"/>
    <w:rsid w:val="603C65E7"/>
    <w:rsid w:val="60446FFD"/>
    <w:rsid w:val="6052264C"/>
    <w:rsid w:val="60565C4E"/>
    <w:rsid w:val="607348FA"/>
    <w:rsid w:val="607C4514"/>
    <w:rsid w:val="608C57FE"/>
    <w:rsid w:val="60933164"/>
    <w:rsid w:val="60D0306F"/>
    <w:rsid w:val="60D42F2C"/>
    <w:rsid w:val="60DA563C"/>
    <w:rsid w:val="60E604E6"/>
    <w:rsid w:val="60F11716"/>
    <w:rsid w:val="61011BB2"/>
    <w:rsid w:val="6110592E"/>
    <w:rsid w:val="61246385"/>
    <w:rsid w:val="612717B4"/>
    <w:rsid w:val="612C45CE"/>
    <w:rsid w:val="612F3FC4"/>
    <w:rsid w:val="61367A4A"/>
    <w:rsid w:val="617343FF"/>
    <w:rsid w:val="618101E3"/>
    <w:rsid w:val="618D15A2"/>
    <w:rsid w:val="61B81B60"/>
    <w:rsid w:val="61BA213D"/>
    <w:rsid w:val="61BA5C99"/>
    <w:rsid w:val="61D85BB6"/>
    <w:rsid w:val="61F40326"/>
    <w:rsid w:val="620F040F"/>
    <w:rsid w:val="620F7CB9"/>
    <w:rsid w:val="621D3A47"/>
    <w:rsid w:val="621E6638"/>
    <w:rsid w:val="6223625E"/>
    <w:rsid w:val="622B1ED3"/>
    <w:rsid w:val="625546A1"/>
    <w:rsid w:val="625A7D1F"/>
    <w:rsid w:val="625B1A08"/>
    <w:rsid w:val="62611DB2"/>
    <w:rsid w:val="626242AF"/>
    <w:rsid w:val="627073DF"/>
    <w:rsid w:val="62726CDA"/>
    <w:rsid w:val="62765DE0"/>
    <w:rsid w:val="627945A6"/>
    <w:rsid w:val="6286232A"/>
    <w:rsid w:val="62901E79"/>
    <w:rsid w:val="62966D59"/>
    <w:rsid w:val="62AA7397"/>
    <w:rsid w:val="62B962CE"/>
    <w:rsid w:val="62BC7828"/>
    <w:rsid w:val="62BF3B16"/>
    <w:rsid w:val="62D83687"/>
    <w:rsid w:val="62EA38CD"/>
    <w:rsid w:val="62FF058C"/>
    <w:rsid w:val="63063093"/>
    <w:rsid w:val="63084439"/>
    <w:rsid w:val="6326730C"/>
    <w:rsid w:val="633046DB"/>
    <w:rsid w:val="634458A7"/>
    <w:rsid w:val="63597BD1"/>
    <w:rsid w:val="635E63B1"/>
    <w:rsid w:val="637F121C"/>
    <w:rsid w:val="63916850"/>
    <w:rsid w:val="63932A3C"/>
    <w:rsid w:val="639A4E48"/>
    <w:rsid w:val="63AA6AED"/>
    <w:rsid w:val="63AB111F"/>
    <w:rsid w:val="63B40033"/>
    <w:rsid w:val="63BA236A"/>
    <w:rsid w:val="63E006CD"/>
    <w:rsid w:val="63EB40F2"/>
    <w:rsid w:val="63EC25C0"/>
    <w:rsid w:val="63F05C53"/>
    <w:rsid w:val="63F07A5F"/>
    <w:rsid w:val="640319AA"/>
    <w:rsid w:val="64197B6F"/>
    <w:rsid w:val="643772C8"/>
    <w:rsid w:val="64453A03"/>
    <w:rsid w:val="64490FCA"/>
    <w:rsid w:val="644E3BF2"/>
    <w:rsid w:val="64565585"/>
    <w:rsid w:val="645A2DCE"/>
    <w:rsid w:val="645F1C23"/>
    <w:rsid w:val="646643C8"/>
    <w:rsid w:val="646B2DA9"/>
    <w:rsid w:val="649E593B"/>
    <w:rsid w:val="64A86891"/>
    <w:rsid w:val="64AB20F7"/>
    <w:rsid w:val="64C82128"/>
    <w:rsid w:val="64D82C05"/>
    <w:rsid w:val="64E71214"/>
    <w:rsid w:val="64F774CD"/>
    <w:rsid w:val="64F84B5B"/>
    <w:rsid w:val="651E1475"/>
    <w:rsid w:val="65234622"/>
    <w:rsid w:val="65261342"/>
    <w:rsid w:val="65266111"/>
    <w:rsid w:val="652B0C59"/>
    <w:rsid w:val="653B64B9"/>
    <w:rsid w:val="655A1669"/>
    <w:rsid w:val="6560136A"/>
    <w:rsid w:val="65664C5A"/>
    <w:rsid w:val="657232B5"/>
    <w:rsid w:val="657E47D8"/>
    <w:rsid w:val="65923054"/>
    <w:rsid w:val="659A1C23"/>
    <w:rsid w:val="65A717A3"/>
    <w:rsid w:val="65AA73CE"/>
    <w:rsid w:val="65AB173D"/>
    <w:rsid w:val="65C569A4"/>
    <w:rsid w:val="65DB0F20"/>
    <w:rsid w:val="65E67B9A"/>
    <w:rsid w:val="65FE68FC"/>
    <w:rsid w:val="65FF2DAC"/>
    <w:rsid w:val="660420CA"/>
    <w:rsid w:val="660627B8"/>
    <w:rsid w:val="66303092"/>
    <w:rsid w:val="66355A97"/>
    <w:rsid w:val="6648413E"/>
    <w:rsid w:val="66590D2D"/>
    <w:rsid w:val="665A2308"/>
    <w:rsid w:val="665E5500"/>
    <w:rsid w:val="666D0CE1"/>
    <w:rsid w:val="66845715"/>
    <w:rsid w:val="669A6A20"/>
    <w:rsid w:val="669C2EA8"/>
    <w:rsid w:val="669C5290"/>
    <w:rsid w:val="66A15A9D"/>
    <w:rsid w:val="66B34051"/>
    <w:rsid w:val="66B91513"/>
    <w:rsid w:val="66CF5A16"/>
    <w:rsid w:val="66F43D4A"/>
    <w:rsid w:val="67295CD8"/>
    <w:rsid w:val="673B5505"/>
    <w:rsid w:val="67433F94"/>
    <w:rsid w:val="6753272D"/>
    <w:rsid w:val="67616FAD"/>
    <w:rsid w:val="676C4FC5"/>
    <w:rsid w:val="677A19D6"/>
    <w:rsid w:val="67986EDD"/>
    <w:rsid w:val="67987E28"/>
    <w:rsid w:val="679B75D8"/>
    <w:rsid w:val="67B50A2C"/>
    <w:rsid w:val="67BC535F"/>
    <w:rsid w:val="67C01E36"/>
    <w:rsid w:val="67C803A8"/>
    <w:rsid w:val="67D11FB8"/>
    <w:rsid w:val="67DE04F8"/>
    <w:rsid w:val="67E02509"/>
    <w:rsid w:val="67F4640E"/>
    <w:rsid w:val="67F46E9F"/>
    <w:rsid w:val="681D631E"/>
    <w:rsid w:val="681E2A29"/>
    <w:rsid w:val="6824547D"/>
    <w:rsid w:val="68292578"/>
    <w:rsid w:val="684319FE"/>
    <w:rsid w:val="68511E42"/>
    <w:rsid w:val="685E6F9F"/>
    <w:rsid w:val="6868326A"/>
    <w:rsid w:val="686C5A72"/>
    <w:rsid w:val="689212FE"/>
    <w:rsid w:val="68927A66"/>
    <w:rsid w:val="689C25FF"/>
    <w:rsid w:val="68A57C57"/>
    <w:rsid w:val="68AC7696"/>
    <w:rsid w:val="68BC4F4D"/>
    <w:rsid w:val="68C4280B"/>
    <w:rsid w:val="68CC3D9E"/>
    <w:rsid w:val="68EC75B5"/>
    <w:rsid w:val="68F2196E"/>
    <w:rsid w:val="68F95385"/>
    <w:rsid w:val="69053D1B"/>
    <w:rsid w:val="69092152"/>
    <w:rsid w:val="69120C4E"/>
    <w:rsid w:val="691C17CD"/>
    <w:rsid w:val="691C4585"/>
    <w:rsid w:val="692122FA"/>
    <w:rsid w:val="69231B0C"/>
    <w:rsid w:val="692B6F42"/>
    <w:rsid w:val="69422EE0"/>
    <w:rsid w:val="69434B73"/>
    <w:rsid w:val="69474952"/>
    <w:rsid w:val="6950151D"/>
    <w:rsid w:val="69624302"/>
    <w:rsid w:val="69797C2C"/>
    <w:rsid w:val="697A4E6A"/>
    <w:rsid w:val="699D66A3"/>
    <w:rsid w:val="69BA03C1"/>
    <w:rsid w:val="69D009DD"/>
    <w:rsid w:val="69D176A8"/>
    <w:rsid w:val="69D875BE"/>
    <w:rsid w:val="69DB6D68"/>
    <w:rsid w:val="69E22D0E"/>
    <w:rsid w:val="69E505FB"/>
    <w:rsid w:val="6A027D74"/>
    <w:rsid w:val="6A151613"/>
    <w:rsid w:val="6A191630"/>
    <w:rsid w:val="6A4A0894"/>
    <w:rsid w:val="6A5860D2"/>
    <w:rsid w:val="6A5F27C6"/>
    <w:rsid w:val="6A722F6A"/>
    <w:rsid w:val="6A78005A"/>
    <w:rsid w:val="6AAB1FFE"/>
    <w:rsid w:val="6AAB7931"/>
    <w:rsid w:val="6AD514FD"/>
    <w:rsid w:val="6AE368DE"/>
    <w:rsid w:val="6B047C64"/>
    <w:rsid w:val="6B08737D"/>
    <w:rsid w:val="6B226786"/>
    <w:rsid w:val="6B337C49"/>
    <w:rsid w:val="6B53760B"/>
    <w:rsid w:val="6B5851D6"/>
    <w:rsid w:val="6B657CB8"/>
    <w:rsid w:val="6B6E4CB6"/>
    <w:rsid w:val="6B7231A0"/>
    <w:rsid w:val="6B764D4B"/>
    <w:rsid w:val="6B772420"/>
    <w:rsid w:val="6BCD4485"/>
    <w:rsid w:val="6BE437C0"/>
    <w:rsid w:val="6BF52B32"/>
    <w:rsid w:val="6BFC5A9A"/>
    <w:rsid w:val="6C001B2C"/>
    <w:rsid w:val="6C0B1B57"/>
    <w:rsid w:val="6C144697"/>
    <w:rsid w:val="6C1A2C14"/>
    <w:rsid w:val="6C1E4EC4"/>
    <w:rsid w:val="6C210515"/>
    <w:rsid w:val="6C283190"/>
    <w:rsid w:val="6C337889"/>
    <w:rsid w:val="6C357A74"/>
    <w:rsid w:val="6C393828"/>
    <w:rsid w:val="6C4920B2"/>
    <w:rsid w:val="6C675EAB"/>
    <w:rsid w:val="6C72269C"/>
    <w:rsid w:val="6C972779"/>
    <w:rsid w:val="6C9B2A9C"/>
    <w:rsid w:val="6C9E3F32"/>
    <w:rsid w:val="6C9F2E19"/>
    <w:rsid w:val="6CA0075C"/>
    <w:rsid w:val="6CC2174B"/>
    <w:rsid w:val="6CD31975"/>
    <w:rsid w:val="6CD3770C"/>
    <w:rsid w:val="6CF71D7B"/>
    <w:rsid w:val="6CF73DD1"/>
    <w:rsid w:val="6CFC2A23"/>
    <w:rsid w:val="6D0B0145"/>
    <w:rsid w:val="6D0B77C0"/>
    <w:rsid w:val="6D142F84"/>
    <w:rsid w:val="6D304E75"/>
    <w:rsid w:val="6D334CD7"/>
    <w:rsid w:val="6D3B1836"/>
    <w:rsid w:val="6D3F18FA"/>
    <w:rsid w:val="6D410295"/>
    <w:rsid w:val="6D504B6C"/>
    <w:rsid w:val="6D506C3D"/>
    <w:rsid w:val="6D5348B8"/>
    <w:rsid w:val="6D585A4E"/>
    <w:rsid w:val="6D691828"/>
    <w:rsid w:val="6D6D03E3"/>
    <w:rsid w:val="6D6D23E0"/>
    <w:rsid w:val="6D767B38"/>
    <w:rsid w:val="6D8D7533"/>
    <w:rsid w:val="6D8F32E2"/>
    <w:rsid w:val="6D990439"/>
    <w:rsid w:val="6D9C0386"/>
    <w:rsid w:val="6DB00901"/>
    <w:rsid w:val="6DB14284"/>
    <w:rsid w:val="6DE57BBE"/>
    <w:rsid w:val="6DE91AC4"/>
    <w:rsid w:val="6DF07A20"/>
    <w:rsid w:val="6DF754E0"/>
    <w:rsid w:val="6DFF137D"/>
    <w:rsid w:val="6E2C0D10"/>
    <w:rsid w:val="6E354B30"/>
    <w:rsid w:val="6E360559"/>
    <w:rsid w:val="6E5137C9"/>
    <w:rsid w:val="6E5E4BF2"/>
    <w:rsid w:val="6E6E6C00"/>
    <w:rsid w:val="6E76413D"/>
    <w:rsid w:val="6E812F68"/>
    <w:rsid w:val="6E8135FF"/>
    <w:rsid w:val="6E8658DE"/>
    <w:rsid w:val="6E8B6899"/>
    <w:rsid w:val="6E986B45"/>
    <w:rsid w:val="6E9E7E9E"/>
    <w:rsid w:val="6EAD0E36"/>
    <w:rsid w:val="6EE05154"/>
    <w:rsid w:val="6EEA03F2"/>
    <w:rsid w:val="6EFF06AE"/>
    <w:rsid w:val="6F2E0EED"/>
    <w:rsid w:val="6F3478BB"/>
    <w:rsid w:val="6F4153F3"/>
    <w:rsid w:val="6F4463A8"/>
    <w:rsid w:val="6F6716D3"/>
    <w:rsid w:val="6F6C0E42"/>
    <w:rsid w:val="6F7C3F56"/>
    <w:rsid w:val="6F822DB7"/>
    <w:rsid w:val="6F8E4282"/>
    <w:rsid w:val="6F8E7202"/>
    <w:rsid w:val="6FC170B5"/>
    <w:rsid w:val="6FC66ECC"/>
    <w:rsid w:val="6FD74AB8"/>
    <w:rsid w:val="6FDD5A68"/>
    <w:rsid w:val="6FDE682C"/>
    <w:rsid w:val="6FE717C6"/>
    <w:rsid w:val="6FF33BC0"/>
    <w:rsid w:val="6FFF274E"/>
    <w:rsid w:val="6FFFE6F2"/>
    <w:rsid w:val="700249D6"/>
    <w:rsid w:val="70232BE2"/>
    <w:rsid w:val="702860E7"/>
    <w:rsid w:val="703461AB"/>
    <w:rsid w:val="70372650"/>
    <w:rsid w:val="70400D63"/>
    <w:rsid w:val="70414EEF"/>
    <w:rsid w:val="704648AA"/>
    <w:rsid w:val="704C4D35"/>
    <w:rsid w:val="70587970"/>
    <w:rsid w:val="705A1486"/>
    <w:rsid w:val="70793DE4"/>
    <w:rsid w:val="707F0897"/>
    <w:rsid w:val="708056F3"/>
    <w:rsid w:val="70864334"/>
    <w:rsid w:val="708D2431"/>
    <w:rsid w:val="70A0456C"/>
    <w:rsid w:val="70B37ABB"/>
    <w:rsid w:val="70BE43E2"/>
    <w:rsid w:val="70C55556"/>
    <w:rsid w:val="70DA7694"/>
    <w:rsid w:val="70EB28E6"/>
    <w:rsid w:val="70EE7958"/>
    <w:rsid w:val="70FA6866"/>
    <w:rsid w:val="70FD5294"/>
    <w:rsid w:val="7103592E"/>
    <w:rsid w:val="71052A55"/>
    <w:rsid w:val="711C08E7"/>
    <w:rsid w:val="712629B7"/>
    <w:rsid w:val="71365F8B"/>
    <w:rsid w:val="71562F4F"/>
    <w:rsid w:val="716D04E4"/>
    <w:rsid w:val="718A5FAF"/>
    <w:rsid w:val="718B5197"/>
    <w:rsid w:val="71A6648F"/>
    <w:rsid w:val="71A7421A"/>
    <w:rsid w:val="71B70F25"/>
    <w:rsid w:val="71BB72B9"/>
    <w:rsid w:val="71F91AE7"/>
    <w:rsid w:val="71FA6414"/>
    <w:rsid w:val="720B24BD"/>
    <w:rsid w:val="72110AF2"/>
    <w:rsid w:val="721F1A17"/>
    <w:rsid w:val="7228423B"/>
    <w:rsid w:val="722E2831"/>
    <w:rsid w:val="72552DBD"/>
    <w:rsid w:val="726B0FA3"/>
    <w:rsid w:val="727870F2"/>
    <w:rsid w:val="72952638"/>
    <w:rsid w:val="729C52D8"/>
    <w:rsid w:val="729F6401"/>
    <w:rsid w:val="72A215A0"/>
    <w:rsid w:val="72B130F2"/>
    <w:rsid w:val="72B97517"/>
    <w:rsid w:val="72ED3321"/>
    <w:rsid w:val="72F31532"/>
    <w:rsid w:val="73037DAD"/>
    <w:rsid w:val="7309526A"/>
    <w:rsid w:val="731E3876"/>
    <w:rsid w:val="73256E4D"/>
    <w:rsid w:val="73303038"/>
    <w:rsid w:val="7336321E"/>
    <w:rsid w:val="737D0ED5"/>
    <w:rsid w:val="737F549A"/>
    <w:rsid w:val="738946F3"/>
    <w:rsid w:val="738F76C2"/>
    <w:rsid w:val="739B2381"/>
    <w:rsid w:val="73B20AA4"/>
    <w:rsid w:val="73B464B8"/>
    <w:rsid w:val="73B46614"/>
    <w:rsid w:val="73CB1F4E"/>
    <w:rsid w:val="73D42C49"/>
    <w:rsid w:val="73D858E3"/>
    <w:rsid w:val="73E04605"/>
    <w:rsid w:val="73E37406"/>
    <w:rsid w:val="73FD255C"/>
    <w:rsid w:val="73FE55A5"/>
    <w:rsid w:val="74082A8F"/>
    <w:rsid w:val="740D00CE"/>
    <w:rsid w:val="740D4CB8"/>
    <w:rsid w:val="741503E9"/>
    <w:rsid w:val="74265823"/>
    <w:rsid w:val="742E12D4"/>
    <w:rsid w:val="743431D8"/>
    <w:rsid w:val="744E1A17"/>
    <w:rsid w:val="744F2116"/>
    <w:rsid w:val="745851F8"/>
    <w:rsid w:val="745D0A4B"/>
    <w:rsid w:val="746C57AC"/>
    <w:rsid w:val="748F0814"/>
    <w:rsid w:val="7491562A"/>
    <w:rsid w:val="74A35C3A"/>
    <w:rsid w:val="74B5229A"/>
    <w:rsid w:val="74C14D83"/>
    <w:rsid w:val="74E2227D"/>
    <w:rsid w:val="74E63CA8"/>
    <w:rsid w:val="74E934CC"/>
    <w:rsid w:val="74FA0379"/>
    <w:rsid w:val="75007EFF"/>
    <w:rsid w:val="751E6081"/>
    <w:rsid w:val="752B001D"/>
    <w:rsid w:val="753C5031"/>
    <w:rsid w:val="753C5DE3"/>
    <w:rsid w:val="755C1BC9"/>
    <w:rsid w:val="756B2C4C"/>
    <w:rsid w:val="75931E2C"/>
    <w:rsid w:val="75993B1E"/>
    <w:rsid w:val="75B675BF"/>
    <w:rsid w:val="75CF16C7"/>
    <w:rsid w:val="75D27928"/>
    <w:rsid w:val="75F51208"/>
    <w:rsid w:val="760152A1"/>
    <w:rsid w:val="760274F7"/>
    <w:rsid w:val="76113149"/>
    <w:rsid w:val="7634513C"/>
    <w:rsid w:val="764C4657"/>
    <w:rsid w:val="76536B52"/>
    <w:rsid w:val="765A11E5"/>
    <w:rsid w:val="76675AE9"/>
    <w:rsid w:val="76696DDC"/>
    <w:rsid w:val="7673502E"/>
    <w:rsid w:val="768B0186"/>
    <w:rsid w:val="768B1C93"/>
    <w:rsid w:val="76901F0E"/>
    <w:rsid w:val="769105D2"/>
    <w:rsid w:val="76A41437"/>
    <w:rsid w:val="76A97992"/>
    <w:rsid w:val="76AA1591"/>
    <w:rsid w:val="76B12954"/>
    <w:rsid w:val="76C347C9"/>
    <w:rsid w:val="76C8106A"/>
    <w:rsid w:val="76C87F7E"/>
    <w:rsid w:val="76D44188"/>
    <w:rsid w:val="76DD5DF9"/>
    <w:rsid w:val="76E71A29"/>
    <w:rsid w:val="76FF4234"/>
    <w:rsid w:val="77267215"/>
    <w:rsid w:val="772C5CB8"/>
    <w:rsid w:val="77316604"/>
    <w:rsid w:val="77360513"/>
    <w:rsid w:val="77433480"/>
    <w:rsid w:val="77443393"/>
    <w:rsid w:val="774C2FD4"/>
    <w:rsid w:val="775F38CE"/>
    <w:rsid w:val="77877BD8"/>
    <w:rsid w:val="77920CAC"/>
    <w:rsid w:val="779608B1"/>
    <w:rsid w:val="77AF2126"/>
    <w:rsid w:val="77B44E83"/>
    <w:rsid w:val="77BB317F"/>
    <w:rsid w:val="77C47D08"/>
    <w:rsid w:val="77D04452"/>
    <w:rsid w:val="77D25571"/>
    <w:rsid w:val="77D41952"/>
    <w:rsid w:val="77D646B3"/>
    <w:rsid w:val="77DA45AA"/>
    <w:rsid w:val="77E64A52"/>
    <w:rsid w:val="77ED17A7"/>
    <w:rsid w:val="77F4AD7B"/>
    <w:rsid w:val="77F72368"/>
    <w:rsid w:val="77FD2D80"/>
    <w:rsid w:val="780800A9"/>
    <w:rsid w:val="78104B70"/>
    <w:rsid w:val="781C4EEF"/>
    <w:rsid w:val="781C6C86"/>
    <w:rsid w:val="78290642"/>
    <w:rsid w:val="783E1BE4"/>
    <w:rsid w:val="7848558C"/>
    <w:rsid w:val="78520B14"/>
    <w:rsid w:val="7854746F"/>
    <w:rsid w:val="78555487"/>
    <w:rsid w:val="788146C9"/>
    <w:rsid w:val="78862AA4"/>
    <w:rsid w:val="788E6731"/>
    <w:rsid w:val="78904CBD"/>
    <w:rsid w:val="78957033"/>
    <w:rsid w:val="789E65DE"/>
    <w:rsid w:val="78AE643A"/>
    <w:rsid w:val="78D91C96"/>
    <w:rsid w:val="78D92F1C"/>
    <w:rsid w:val="78DE4DD2"/>
    <w:rsid w:val="78F143D2"/>
    <w:rsid w:val="790902D2"/>
    <w:rsid w:val="791403C6"/>
    <w:rsid w:val="791430B9"/>
    <w:rsid w:val="7919747D"/>
    <w:rsid w:val="791B1C83"/>
    <w:rsid w:val="793F36FA"/>
    <w:rsid w:val="794160D5"/>
    <w:rsid w:val="79500365"/>
    <w:rsid w:val="795E52A8"/>
    <w:rsid w:val="7968203E"/>
    <w:rsid w:val="797207DB"/>
    <w:rsid w:val="79903B9E"/>
    <w:rsid w:val="7992605B"/>
    <w:rsid w:val="799A31CF"/>
    <w:rsid w:val="799E0E3B"/>
    <w:rsid w:val="79BD1746"/>
    <w:rsid w:val="79BD1A60"/>
    <w:rsid w:val="79BD4C39"/>
    <w:rsid w:val="79C43E58"/>
    <w:rsid w:val="79C66CE5"/>
    <w:rsid w:val="79F56560"/>
    <w:rsid w:val="79F749FD"/>
    <w:rsid w:val="79FB28ED"/>
    <w:rsid w:val="79FF0A07"/>
    <w:rsid w:val="7A066D60"/>
    <w:rsid w:val="7A067274"/>
    <w:rsid w:val="7A262840"/>
    <w:rsid w:val="7A3E1E86"/>
    <w:rsid w:val="7A547D42"/>
    <w:rsid w:val="7A6A40A9"/>
    <w:rsid w:val="7A6B4F43"/>
    <w:rsid w:val="7A6B6AF1"/>
    <w:rsid w:val="7A6F7E38"/>
    <w:rsid w:val="7A7909D3"/>
    <w:rsid w:val="7A7A00A1"/>
    <w:rsid w:val="7A8F7EEB"/>
    <w:rsid w:val="7A9932D3"/>
    <w:rsid w:val="7AA717B8"/>
    <w:rsid w:val="7AB27E46"/>
    <w:rsid w:val="7AC975CF"/>
    <w:rsid w:val="7AE77CFC"/>
    <w:rsid w:val="7AF01AA6"/>
    <w:rsid w:val="7AF642A9"/>
    <w:rsid w:val="7AF97888"/>
    <w:rsid w:val="7AFC3E59"/>
    <w:rsid w:val="7AFC56D0"/>
    <w:rsid w:val="7B0B6FF2"/>
    <w:rsid w:val="7B116D77"/>
    <w:rsid w:val="7B2639D2"/>
    <w:rsid w:val="7B385ABF"/>
    <w:rsid w:val="7B445F94"/>
    <w:rsid w:val="7B4F6C63"/>
    <w:rsid w:val="7B51704A"/>
    <w:rsid w:val="7B5B94E8"/>
    <w:rsid w:val="7B611CB5"/>
    <w:rsid w:val="7B632EEA"/>
    <w:rsid w:val="7B6F3687"/>
    <w:rsid w:val="7B7359A8"/>
    <w:rsid w:val="7B8C7083"/>
    <w:rsid w:val="7B8F138F"/>
    <w:rsid w:val="7B914877"/>
    <w:rsid w:val="7B916F71"/>
    <w:rsid w:val="7B991033"/>
    <w:rsid w:val="7BAD46AA"/>
    <w:rsid w:val="7BC471A2"/>
    <w:rsid w:val="7BC830F2"/>
    <w:rsid w:val="7BCF3FB5"/>
    <w:rsid w:val="7BDB3B2A"/>
    <w:rsid w:val="7BE4557D"/>
    <w:rsid w:val="7BF439AE"/>
    <w:rsid w:val="7C0126C7"/>
    <w:rsid w:val="7C0D7F8A"/>
    <w:rsid w:val="7C122CFA"/>
    <w:rsid w:val="7C1E1273"/>
    <w:rsid w:val="7C254C59"/>
    <w:rsid w:val="7C2E4013"/>
    <w:rsid w:val="7C3640D5"/>
    <w:rsid w:val="7C596CAD"/>
    <w:rsid w:val="7C5D03E3"/>
    <w:rsid w:val="7C7120DD"/>
    <w:rsid w:val="7C7B37C6"/>
    <w:rsid w:val="7C8D04C3"/>
    <w:rsid w:val="7C8D7DB6"/>
    <w:rsid w:val="7CA03BC2"/>
    <w:rsid w:val="7CBD6B87"/>
    <w:rsid w:val="7CCD1BBA"/>
    <w:rsid w:val="7CE249F2"/>
    <w:rsid w:val="7CF17DE1"/>
    <w:rsid w:val="7D0E169D"/>
    <w:rsid w:val="7D2E0078"/>
    <w:rsid w:val="7D3550B2"/>
    <w:rsid w:val="7D456D5F"/>
    <w:rsid w:val="7D7D2832"/>
    <w:rsid w:val="7D8041EE"/>
    <w:rsid w:val="7D8C05E9"/>
    <w:rsid w:val="7D94273B"/>
    <w:rsid w:val="7D9A1150"/>
    <w:rsid w:val="7DAD0A8D"/>
    <w:rsid w:val="7DB51D20"/>
    <w:rsid w:val="7DC0720D"/>
    <w:rsid w:val="7DC66901"/>
    <w:rsid w:val="7DCF2E20"/>
    <w:rsid w:val="7DE45880"/>
    <w:rsid w:val="7DE718D5"/>
    <w:rsid w:val="7DE9723A"/>
    <w:rsid w:val="7DF622E7"/>
    <w:rsid w:val="7E0C3C50"/>
    <w:rsid w:val="7E0E7161"/>
    <w:rsid w:val="7E135004"/>
    <w:rsid w:val="7E1C08DF"/>
    <w:rsid w:val="7E260F64"/>
    <w:rsid w:val="7E390E9C"/>
    <w:rsid w:val="7E5C5A2E"/>
    <w:rsid w:val="7E701792"/>
    <w:rsid w:val="7E777226"/>
    <w:rsid w:val="7E7A31E1"/>
    <w:rsid w:val="7EAB2D1D"/>
    <w:rsid w:val="7EBE0B74"/>
    <w:rsid w:val="7EC141E6"/>
    <w:rsid w:val="7EC918E9"/>
    <w:rsid w:val="7ED31EC3"/>
    <w:rsid w:val="7EDF6ECA"/>
    <w:rsid w:val="7EF7F316"/>
    <w:rsid w:val="7EFC3EE0"/>
    <w:rsid w:val="7EFE3CA3"/>
    <w:rsid w:val="7F0333BC"/>
    <w:rsid w:val="7F285CAD"/>
    <w:rsid w:val="7F376731"/>
    <w:rsid w:val="7F3866A9"/>
    <w:rsid w:val="7F4679A3"/>
    <w:rsid w:val="7F4F2570"/>
    <w:rsid w:val="7F507D30"/>
    <w:rsid w:val="7F645B60"/>
    <w:rsid w:val="7F685D4E"/>
    <w:rsid w:val="7F745709"/>
    <w:rsid w:val="7F7731E4"/>
    <w:rsid w:val="7F7D483D"/>
    <w:rsid w:val="7F951E5C"/>
    <w:rsid w:val="7FA7797B"/>
    <w:rsid w:val="7FA93ADF"/>
    <w:rsid w:val="7FAB6391"/>
    <w:rsid w:val="7FCC36B7"/>
    <w:rsid w:val="7FCF1F18"/>
    <w:rsid w:val="7FDC74D8"/>
    <w:rsid w:val="7FDF7381"/>
    <w:rsid w:val="7FE73817"/>
    <w:rsid w:val="7FFF4663"/>
    <w:rsid w:val="8EFE3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17CB8-D679-43D0-9A65-F61C0D040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Char"/>
    <w:qFormat/>
    <w:pPr>
      <w:numPr>
        <w:ilvl w:val="2"/>
        <w:numId w:val="1"/>
      </w:numPr>
      <w:spacing w:before="260" w:after="260" w:line="416" w:lineRule="auto"/>
      <w:outlineLvl w:val="2"/>
    </w:pPr>
    <w:rPr>
      <w:b/>
      <w:bCs/>
    </w:r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e"/>
    <w:qFormat/>
    <w:rPr>
      <w:rFonts w:ascii="宋体"/>
      <w:sz w:val="21"/>
    </w:rPr>
  </w:style>
  <w:style w:type="paragraph" w:customStyle="1" w:styleId="afe">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
    <w:qFormat/>
    <w:rPr>
      <w:rFonts w:ascii="宋体" w:hAnsi="宋体"/>
      <w:kern w:val="2"/>
      <w:sz w:val="18"/>
      <w:szCs w:val="18"/>
    </w:rPr>
  </w:style>
  <w:style w:type="paragraph" w:customStyle="1" w:styleId="aff">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0">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1">
    <w:name w:val="其他发布部门"/>
    <w:basedOn w:val="aff2"/>
    <w:qFormat/>
    <w:pPr>
      <w:spacing w:line="0" w:lineRule="atLeast"/>
    </w:pPr>
    <w:rPr>
      <w:rFonts w:ascii="黑体" w:eastAsia="黑体"/>
      <w:b w:val="0"/>
    </w:rPr>
  </w:style>
  <w:style w:type="paragraph" w:customStyle="1" w:styleId="aff2">
    <w:name w:val="发布部门"/>
    <w:next w:val="af0"/>
    <w:qFormat/>
    <w:pPr>
      <w:jc w:val="center"/>
    </w:pPr>
    <w:rPr>
      <w:rFonts w:ascii="宋体" w:eastAsiaTheme="minorEastAsia"/>
      <w:b/>
      <w:spacing w:val="20"/>
      <w:w w:val="135"/>
      <w:sz w:val="28"/>
    </w:rPr>
  </w:style>
  <w:style w:type="paragraph" w:customStyle="1" w:styleId="aff3">
    <w:name w:val="示例"/>
    <w:next w:val="aff4"/>
    <w:qFormat/>
    <w:pPr>
      <w:widowControl w:val="0"/>
      <w:ind w:left="360" w:hanging="360"/>
      <w:jc w:val="both"/>
    </w:pPr>
    <w:rPr>
      <w:rFonts w:ascii="宋体" w:eastAsiaTheme="minorEastAsia"/>
      <w:sz w:val="18"/>
      <w:szCs w:val="18"/>
    </w:rPr>
  </w:style>
  <w:style w:type="paragraph" w:customStyle="1" w:styleId="aff4">
    <w:name w:val="示例内容"/>
    <w:qFormat/>
    <w:pPr>
      <w:ind w:firstLineChars="200" w:firstLine="200"/>
    </w:pPr>
    <w:rPr>
      <w:rFonts w:ascii="宋体" w:eastAsiaTheme="minorEastAsia"/>
      <w:sz w:val="18"/>
      <w:szCs w:val="18"/>
    </w:rPr>
  </w:style>
  <w:style w:type="paragraph" w:customStyle="1" w:styleId="aff5">
    <w:name w:val="附录数字编号列项（二级）"/>
    <w:qFormat/>
    <w:pPr>
      <w:tabs>
        <w:tab w:val="left" w:pos="363"/>
        <w:tab w:val="left" w:pos="840"/>
      </w:tabs>
      <w:ind w:firstLine="363"/>
    </w:pPr>
    <w:rPr>
      <w:rFonts w:ascii="宋体" w:eastAsiaTheme="minorEastAsia"/>
      <w:sz w:val="21"/>
    </w:rPr>
  </w:style>
  <w:style w:type="paragraph" w:customStyle="1" w:styleId="aff6">
    <w:name w:val="标准书眉_奇数页"/>
    <w:next w:val="a"/>
    <w:qFormat/>
    <w:pPr>
      <w:tabs>
        <w:tab w:val="center" w:pos="4154"/>
        <w:tab w:val="right" w:pos="8306"/>
      </w:tabs>
      <w:spacing w:after="220"/>
      <w:jc w:val="right"/>
    </w:pPr>
    <w:rPr>
      <w:rFonts w:ascii="黑体" w:eastAsia="黑体"/>
      <w:sz w:val="21"/>
      <w:szCs w:val="21"/>
    </w:rPr>
  </w:style>
  <w:style w:type="paragraph" w:customStyle="1" w:styleId="aff7">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8">
    <w:name w:val="三级条标题"/>
    <w:basedOn w:val="aff9"/>
    <w:next w:val="af0"/>
    <w:qFormat/>
    <w:pPr>
      <w:outlineLvl w:val="4"/>
    </w:pPr>
  </w:style>
  <w:style w:type="paragraph" w:customStyle="1" w:styleId="aff9">
    <w:name w:val="二级条标题"/>
    <w:basedOn w:val="affa"/>
    <w:next w:val="af0"/>
    <w:qFormat/>
    <w:pPr>
      <w:spacing w:beforeLines="0" w:afterLines="0"/>
      <w:outlineLvl w:val="3"/>
    </w:pPr>
  </w:style>
  <w:style w:type="paragraph" w:customStyle="1" w:styleId="affa">
    <w:name w:val="一级条标题"/>
    <w:next w:val="af0"/>
    <w:qFormat/>
    <w:pPr>
      <w:spacing w:beforeLines="50" w:afterLines="50" w:after="200"/>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b">
    <w:name w:val="附录一级条标题"/>
    <w:basedOn w:val="affc"/>
    <w:next w:val="af0"/>
    <w:qFormat/>
    <w:pPr>
      <w:tabs>
        <w:tab w:val="left" w:pos="720"/>
      </w:tabs>
      <w:autoSpaceDN w:val="0"/>
      <w:spacing w:beforeLines="50" w:afterLines="50"/>
      <w:ind w:left="720" w:hanging="720"/>
      <w:outlineLvl w:val="2"/>
    </w:pPr>
  </w:style>
  <w:style w:type="paragraph" w:customStyle="1" w:styleId="affc">
    <w:name w:val="附录章标题"/>
    <w:next w:val="af0"/>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黑体" w:eastAsia="黑体"/>
      <w:kern w:val="21"/>
      <w:sz w:val="21"/>
    </w:rPr>
  </w:style>
  <w:style w:type="paragraph" w:customStyle="1" w:styleId="affd">
    <w:name w:val="四级条标题"/>
    <w:basedOn w:val="aff8"/>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e">
    <w:name w:val="章标题"/>
    <w:next w:val="af0"/>
    <w:qFormat/>
    <w:pPr>
      <w:spacing w:beforeLines="100" w:afterLines="100" w:after="200"/>
      <w:jc w:val="both"/>
      <w:outlineLvl w:val="1"/>
    </w:pPr>
    <w:rPr>
      <w:rFonts w:ascii="黑体" w:eastAsia="黑体"/>
      <w:sz w:val="21"/>
    </w:rPr>
  </w:style>
  <w:style w:type="paragraph" w:customStyle="1" w:styleId="afff">
    <w:name w:val="正文表标题"/>
    <w:next w:val="af0"/>
    <w:qFormat/>
    <w:pPr>
      <w:tabs>
        <w:tab w:val="left" w:pos="0"/>
        <w:tab w:val="left" w:pos="360"/>
      </w:tabs>
      <w:spacing w:beforeLines="50" w:afterLines="50" w:after="200"/>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0">
    <w:name w:val="注："/>
    <w:next w:val="af0"/>
    <w:qFormat/>
    <w:pPr>
      <w:widowControl w:val="0"/>
      <w:autoSpaceDE w:val="0"/>
      <w:autoSpaceDN w:val="0"/>
      <w:jc w:val="both"/>
    </w:pPr>
    <w:rPr>
      <w:rFonts w:ascii="宋体" w:eastAsiaTheme="minorEastAsia"/>
      <w:sz w:val="18"/>
      <w:szCs w:val="18"/>
    </w:rPr>
  </w:style>
  <w:style w:type="paragraph" w:customStyle="1" w:styleId="afff1">
    <w:name w:val="附录五级条标题"/>
    <w:basedOn w:val="afff2"/>
    <w:next w:val="af0"/>
    <w:qFormat/>
    <w:pPr>
      <w:tabs>
        <w:tab w:val="left" w:pos="1296"/>
      </w:tabs>
      <w:ind w:left="1296" w:hanging="1296"/>
      <w:outlineLvl w:val="6"/>
    </w:pPr>
  </w:style>
  <w:style w:type="paragraph" w:customStyle="1" w:styleId="afff2">
    <w:name w:val="附录四级条标题"/>
    <w:basedOn w:val="afff3"/>
    <w:next w:val="af0"/>
    <w:qFormat/>
    <w:pPr>
      <w:outlineLvl w:val="5"/>
    </w:pPr>
  </w:style>
  <w:style w:type="paragraph" w:customStyle="1" w:styleId="afff3">
    <w:name w:val="附录三级条标题"/>
    <w:basedOn w:val="afff4"/>
    <w:next w:val="af0"/>
    <w:qFormat/>
    <w:pPr>
      <w:tabs>
        <w:tab w:val="left" w:pos="1008"/>
      </w:tabs>
      <w:ind w:left="1008" w:hanging="1008"/>
      <w:outlineLvl w:val="4"/>
    </w:pPr>
  </w:style>
  <w:style w:type="paragraph" w:customStyle="1" w:styleId="afff4">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5">
    <w:name w:val="文献分类号"/>
    <w:qFormat/>
    <w:pPr>
      <w:widowControl w:val="0"/>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6">
    <w:name w:val="一级无"/>
    <w:basedOn w:val="affa"/>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7">
    <w:name w:val="附录四级无"/>
    <w:basedOn w:val="afff2"/>
    <w:qFormat/>
    <w:pPr>
      <w:tabs>
        <w:tab w:val="clear" w:pos="360"/>
        <w:tab w:val="left" w:pos="1151"/>
      </w:tabs>
      <w:spacing w:beforeLines="0" w:afterLines="0"/>
      <w:ind w:left="1151" w:hanging="1151"/>
    </w:pPr>
    <w:rPr>
      <w:rFonts w:ascii="宋体" w:eastAsia="宋体"/>
      <w:szCs w:val="21"/>
    </w:rPr>
  </w:style>
  <w:style w:type="paragraph" w:customStyle="1" w:styleId="afff8">
    <w:name w:val="实施日期"/>
    <w:basedOn w:val="afff9"/>
    <w:qFormat/>
    <w:pPr>
      <w:jc w:val="right"/>
    </w:pPr>
  </w:style>
  <w:style w:type="paragraph" w:customStyle="1" w:styleId="afff9">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a"/>
    <w:qFormat/>
  </w:style>
  <w:style w:type="paragraph" w:customStyle="1" w:styleId="afffa">
    <w:name w:val="封面标准文稿类别"/>
    <w:basedOn w:val="afffb"/>
    <w:qFormat/>
    <w:pPr>
      <w:spacing w:line="240" w:lineRule="auto"/>
    </w:pPr>
    <w:rPr>
      <w:sz w:val="24"/>
    </w:rPr>
  </w:style>
  <w:style w:type="paragraph" w:customStyle="1" w:styleId="afffb">
    <w:name w:val="封面一致性程度标识"/>
    <w:basedOn w:val="afffc"/>
    <w:qFormat/>
    <w:pPr>
      <w:spacing w:before="440"/>
    </w:pPr>
    <w:rPr>
      <w:rFonts w:ascii="宋体" w:eastAsia="宋体"/>
    </w:rPr>
  </w:style>
  <w:style w:type="paragraph" w:customStyle="1" w:styleId="afffc">
    <w:name w:val="封面标准英文名称"/>
    <w:basedOn w:val="afffd"/>
    <w:qFormat/>
    <w:pPr>
      <w:spacing w:before="370" w:line="400" w:lineRule="exact"/>
    </w:pPr>
    <w:rPr>
      <w:rFonts w:ascii="Times New Roman"/>
      <w:sz w:val="28"/>
      <w:szCs w:val="28"/>
    </w:rPr>
  </w:style>
  <w:style w:type="paragraph" w:customStyle="1" w:styleId="afffd">
    <w:name w:val="封面标准名称"/>
    <w:qFormat/>
    <w:pPr>
      <w:widowControl w:val="0"/>
      <w:spacing w:line="680" w:lineRule="exact"/>
      <w:jc w:val="center"/>
      <w:textAlignment w:val="center"/>
    </w:pPr>
    <w:rPr>
      <w:rFonts w:ascii="黑体" w:eastAsia="黑体"/>
      <w:sz w:val="52"/>
    </w:rPr>
  </w:style>
  <w:style w:type="paragraph" w:customStyle="1" w:styleId="afffe">
    <w:name w:val="五级条标题"/>
    <w:basedOn w:val="affd"/>
    <w:next w:val="af0"/>
    <w:qFormat/>
    <w:pPr>
      <w:outlineLvl w:val="6"/>
    </w:pPr>
  </w:style>
  <w:style w:type="paragraph" w:customStyle="1" w:styleId="affff">
    <w:name w:val="封面标准代替信息"/>
    <w:qFormat/>
    <w:pPr>
      <w:spacing w:before="57"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c"/>
    <w:qFormat/>
  </w:style>
  <w:style w:type="paragraph" w:customStyle="1" w:styleId="27">
    <w:name w:val="封面标准号2"/>
    <w:qFormat/>
    <w:pPr>
      <w:spacing w:before="357" w:line="280" w:lineRule="exact"/>
      <w:jc w:val="right"/>
    </w:pPr>
    <w:rPr>
      <w:rFonts w:ascii="黑体" w:eastAsia="黑体"/>
      <w:sz w:val="28"/>
      <w:szCs w:val="28"/>
    </w:rPr>
  </w:style>
  <w:style w:type="paragraph" w:customStyle="1" w:styleId="28">
    <w:name w:val="封面一致性程度标识2"/>
    <w:basedOn w:val="afffb"/>
    <w:qFormat/>
  </w:style>
  <w:style w:type="paragraph" w:customStyle="1" w:styleId="affff0">
    <w:name w:val="注×："/>
    <w:qFormat/>
    <w:pPr>
      <w:widowControl w:val="0"/>
      <w:autoSpaceDE w:val="0"/>
      <w:autoSpaceDN w:val="0"/>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1">
    <w:name w:val="三级无"/>
    <w:basedOn w:val="aff8"/>
    <w:qFormat/>
    <w:rPr>
      <w:rFonts w:ascii="宋体" w:eastAsia="宋体"/>
    </w:rPr>
  </w:style>
  <w:style w:type="paragraph" w:customStyle="1" w:styleId="affff2">
    <w:name w:val="条文脚注"/>
    <w:basedOn w:val="af1"/>
    <w:qFormat/>
    <w:pPr>
      <w:jc w:val="both"/>
    </w:pPr>
  </w:style>
  <w:style w:type="paragraph" w:customStyle="1" w:styleId="affff3">
    <w:name w:val="其他标准标志"/>
    <w:basedOn w:val="affff4"/>
    <w:qFormat/>
    <w:rPr>
      <w:w w:val="130"/>
    </w:rPr>
  </w:style>
  <w:style w:type="paragraph" w:customStyle="1" w:styleId="affff4">
    <w:name w:val="标准标志"/>
    <w:next w:val="a"/>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5">
    <w:name w:val="标准书眉一"/>
    <w:qFormat/>
    <w:pPr>
      <w:jc w:val="both"/>
    </w:pPr>
    <w:rPr>
      <w:rFonts w:eastAsiaTheme="minorEastAsia"/>
    </w:rPr>
  </w:style>
  <w:style w:type="paragraph" w:customStyle="1" w:styleId="affff6">
    <w:name w:val="附录五级无"/>
    <w:basedOn w:val="afff1"/>
    <w:qFormat/>
    <w:pPr>
      <w:tabs>
        <w:tab w:val="clear" w:pos="360"/>
      </w:tabs>
      <w:spacing w:beforeLines="0" w:afterLines="0"/>
    </w:pPr>
    <w:rPr>
      <w:rFonts w:ascii="宋体" w:eastAsia="宋体"/>
      <w:szCs w:val="21"/>
    </w:rPr>
  </w:style>
  <w:style w:type="paragraph" w:customStyle="1" w:styleId="affff7">
    <w:name w:val="图的脚注"/>
    <w:next w:val="af0"/>
    <w:qFormat/>
    <w:pPr>
      <w:widowControl w:val="0"/>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8">
    <w:name w:val="编号列项（三级）"/>
    <w:qFormat/>
    <w:rPr>
      <w:rFonts w:ascii="宋体" w:eastAsiaTheme="minorEastAsia"/>
      <w:sz w:val="21"/>
    </w:rPr>
  </w:style>
  <w:style w:type="paragraph" w:customStyle="1" w:styleId="affff9">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a">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c">
    <w:name w:val="示例后文字"/>
    <w:basedOn w:val="af0"/>
    <w:next w:val="af0"/>
    <w:qFormat/>
    <w:pPr>
      <w:ind w:firstLine="360"/>
    </w:pPr>
    <w:rPr>
      <w:sz w:val="18"/>
    </w:rPr>
  </w:style>
  <w:style w:type="paragraph" w:customStyle="1" w:styleId="affffd">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0">
    <w:name w:val="正文图标题"/>
    <w:next w:val="af0"/>
    <w:qFormat/>
    <w:pPr>
      <w:tabs>
        <w:tab w:val="left" w:pos="1304"/>
      </w:tabs>
      <w:spacing w:beforeLines="50" w:afterLines="50" w:after="20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1">
    <w:name w:val="其他实施日期"/>
    <w:basedOn w:val="afff8"/>
    <w:qFormat/>
  </w:style>
  <w:style w:type="paragraph" w:customStyle="1" w:styleId="afffff2">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3">
    <w:name w:val="四级无"/>
    <w:basedOn w:val="affd"/>
    <w:qFormat/>
    <w:rPr>
      <w:rFonts w:ascii="宋体" w:eastAsia="宋体"/>
    </w:rPr>
  </w:style>
  <w:style w:type="paragraph" w:customStyle="1" w:styleId="afffff4">
    <w:name w:val="示例×："/>
    <w:basedOn w:val="affe"/>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5">
    <w:name w:val="其他发布日期"/>
    <w:basedOn w:val="afff9"/>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6">
    <w:name w:val="注×：（正文）"/>
    <w:qFormat/>
    <w:pPr>
      <w:ind w:firstLine="363"/>
      <w:jc w:val="both"/>
    </w:pPr>
    <w:rPr>
      <w:rFonts w:ascii="宋体" w:eastAsiaTheme="minorEastAsia"/>
      <w:sz w:val="18"/>
      <w:szCs w:val="18"/>
    </w:rPr>
  </w:style>
  <w:style w:type="paragraph" w:customStyle="1" w:styleId="afffff7">
    <w:name w:val="附录表标号"/>
    <w:basedOn w:val="a"/>
    <w:next w:val="af0"/>
    <w:qFormat/>
    <w:pPr>
      <w:spacing w:line="14" w:lineRule="exact"/>
      <w:ind w:left="811" w:hanging="448"/>
      <w:jc w:val="center"/>
      <w:outlineLvl w:val="0"/>
    </w:pPr>
    <w:rPr>
      <w:color w:val="FFFFFF"/>
    </w:rPr>
  </w:style>
  <w:style w:type="paragraph" w:customStyle="1" w:styleId="afffff8">
    <w:name w:val="附录图标题"/>
    <w:basedOn w:val="a"/>
    <w:next w:val="af0"/>
    <w:qFormat/>
    <w:pPr>
      <w:tabs>
        <w:tab w:val="left" w:pos="363"/>
      </w:tabs>
      <w:spacing w:beforeLines="50" w:afterLines="50"/>
      <w:jc w:val="center"/>
    </w:pPr>
    <w:rPr>
      <w:rFonts w:ascii="黑体" w:eastAsia="黑体"/>
      <w:szCs w:val="21"/>
    </w:rPr>
  </w:style>
  <w:style w:type="paragraph" w:customStyle="1" w:styleId="afffff9">
    <w:name w:val="附录标题"/>
    <w:basedOn w:val="af0"/>
    <w:next w:val="af0"/>
    <w:qFormat/>
    <w:pPr>
      <w:ind w:firstLineChars="0" w:firstLine="0"/>
      <w:jc w:val="center"/>
    </w:pPr>
    <w:rPr>
      <w:rFonts w:ascii="黑体" w:eastAsia="黑体"/>
    </w:rPr>
  </w:style>
  <w:style w:type="paragraph" w:customStyle="1" w:styleId="afffffa">
    <w:name w:val="数字编号列项（二级）"/>
    <w:qFormat/>
    <w:pPr>
      <w:tabs>
        <w:tab w:val="left" w:pos="1260"/>
      </w:tabs>
      <w:ind w:left="1190" w:hanging="567"/>
      <w:jc w:val="both"/>
    </w:pPr>
    <w:rPr>
      <w:rFonts w:ascii="宋体" w:eastAsiaTheme="minorEastAsia"/>
      <w:sz w:val="21"/>
    </w:rPr>
  </w:style>
  <w:style w:type="paragraph" w:customStyle="1" w:styleId="afffffb">
    <w:name w:val="标准书眉_偶数页"/>
    <w:basedOn w:val="aff6"/>
    <w:next w:val="a"/>
    <w:qFormat/>
    <w:pPr>
      <w:jc w:val="left"/>
    </w:pPr>
  </w:style>
  <w:style w:type="paragraph" w:customStyle="1" w:styleId="afffffc">
    <w:name w:val="附录三级无"/>
    <w:basedOn w:val="afff3"/>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d">
    <w:name w:val="字母编号列项（一级）"/>
    <w:qFormat/>
    <w:pPr>
      <w:tabs>
        <w:tab w:val="left" w:pos="840"/>
      </w:tabs>
      <w:ind w:left="623" w:hanging="425"/>
      <w:jc w:val="both"/>
    </w:pPr>
    <w:rPr>
      <w:rFonts w:ascii="宋体" w:eastAsiaTheme="minorEastAsia"/>
      <w:sz w:val="21"/>
    </w:rPr>
  </w:style>
  <w:style w:type="paragraph" w:customStyle="1" w:styleId="afffffe">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
    <w:name w:val="目次、索引正文"/>
    <w:qFormat/>
    <w:pPr>
      <w:spacing w:line="320" w:lineRule="exact"/>
      <w:jc w:val="both"/>
    </w:pPr>
    <w:rPr>
      <w:rFonts w:ascii="宋体" w:eastAsiaTheme="minorEastAsia"/>
      <w:sz w:val="21"/>
    </w:rPr>
  </w:style>
  <w:style w:type="paragraph" w:customStyle="1" w:styleId="affffff0">
    <w:name w:val="标准称谓"/>
    <w:next w:val="a"/>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ff1">
    <w:name w:val="二级无"/>
    <w:basedOn w:val="aff9"/>
    <w:qFormat/>
    <w:rPr>
      <w:rFonts w:ascii="宋体" w:eastAsia="宋体"/>
    </w:rPr>
  </w:style>
  <w:style w:type="paragraph" w:customStyle="1" w:styleId="affffff2">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f0"/>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4">
    <w:name w:val="终结线"/>
    <w:basedOn w:val="a"/>
    <w:qFormat/>
  </w:style>
  <w:style w:type="paragraph" w:customStyle="1" w:styleId="affffff5">
    <w:name w:val="五级无"/>
    <w:basedOn w:val="afffe"/>
    <w:qFormat/>
    <w:rPr>
      <w:rFonts w:ascii="宋体" w:eastAsia="宋体"/>
    </w:rPr>
  </w:style>
  <w:style w:type="paragraph" w:customStyle="1" w:styleId="affffff6">
    <w:name w:val="正文公式编号制表符"/>
    <w:basedOn w:val="af0"/>
    <w:next w:val="af0"/>
    <w:qFormat/>
    <w:pPr>
      <w:ind w:firstLineChars="0" w:firstLine="0"/>
    </w:pPr>
  </w:style>
  <w:style w:type="paragraph" w:customStyle="1" w:styleId="affffff7">
    <w:name w:val="列项——（一级）"/>
    <w:qFormat/>
    <w:pPr>
      <w:widowControl w:val="0"/>
      <w:tabs>
        <w:tab w:val="left" w:pos="839"/>
      </w:tabs>
      <w:ind w:left="839" w:hanging="419"/>
      <w:jc w:val="both"/>
    </w:pPr>
    <w:rPr>
      <w:rFonts w:ascii="宋体" w:eastAsiaTheme="minorEastAsia"/>
      <w:sz w:val="21"/>
    </w:rPr>
  </w:style>
  <w:style w:type="paragraph" w:customStyle="1" w:styleId="29">
    <w:name w:val="封面标准文稿编辑信息2"/>
    <w:basedOn w:val="affffff8"/>
    <w:qFormat/>
  </w:style>
  <w:style w:type="paragraph" w:customStyle="1" w:styleId="affffff8">
    <w:name w:val="封面标准文稿编辑信息"/>
    <w:basedOn w:val="afffa"/>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9">
    <w:name w:val="列项●（二级）"/>
    <w:qFormat/>
    <w:pPr>
      <w:tabs>
        <w:tab w:val="left" w:pos="760"/>
        <w:tab w:val="left" w:pos="840"/>
      </w:tabs>
      <w:ind w:left="839" w:hanging="419"/>
      <w:jc w:val="both"/>
    </w:pPr>
    <w:rPr>
      <w:rFonts w:ascii="宋体" w:eastAsiaTheme="minorEastAsia"/>
      <w:sz w:val="21"/>
    </w:rPr>
  </w:style>
  <w:style w:type="paragraph" w:customStyle="1" w:styleId="2a">
    <w:name w:val="封面标准名称2"/>
    <w:basedOn w:val="afffd"/>
    <w:qFormat/>
    <w:pPr>
      <w:spacing w:beforeLines="630"/>
    </w:pPr>
  </w:style>
  <w:style w:type="paragraph" w:customStyle="1" w:styleId="affffffa">
    <w:name w:val="前言、引言标题"/>
    <w:next w:val="af0"/>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b">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c">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d">
    <w:name w:val="标准书脚_奇数页"/>
    <w:qFormat/>
    <w:pPr>
      <w:spacing w:before="120"/>
      <w:ind w:right="198"/>
      <w:jc w:val="right"/>
    </w:pPr>
    <w:rPr>
      <w:rFonts w:ascii="宋体" w:eastAsiaTheme="minorEastAsia"/>
      <w:sz w:val="18"/>
      <w:szCs w:val="18"/>
    </w:rPr>
  </w:style>
  <w:style w:type="paragraph" w:customStyle="1" w:styleId="affffffe">
    <w:name w:val="附录二级无"/>
    <w:basedOn w:val="afff4"/>
    <w:qFormat/>
    <w:pPr>
      <w:tabs>
        <w:tab w:val="clear" w:pos="360"/>
      </w:tabs>
      <w:spacing w:beforeLines="0" w:afterLines="0"/>
    </w:pPr>
    <w:rPr>
      <w:rFonts w:ascii="宋体" w:eastAsia="宋体"/>
      <w:szCs w:val="21"/>
    </w:rPr>
  </w:style>
  <w:style w:type="paragraph" w:customStyle="1" w:styleId="afffffff">
    <w:name w:val="附录一级无"/>
    <w:basedOn w:val="affb"/>
    <w:qFormat/>
    <w:pPr>
      <w:tabs>
        <w:tab w:val="clear" w:pos="360"/>
      </w:tabs>
      <w:spacing w:beforeLines="0" w:afterLines="0"/>
    </w:pPr>
    <w:rPr>
      <w:rFonts w:ascii="宋体" w:eastAsia="宋体"/>
      <w:szCs w:val="21"/>
    </w:rPr>
  </w:style>
  <w:style w:type="paragraph" w:customStyle="1" w:styleId="afffffff0">
    <w:name w:val="列项说明数字编号"/>
    <w:qFormat/>
    <w:pPr>
      <w:ind w:leftChars="400" w:left="600" w:hangingChars="200" w:hanging="200"/>
    </w:pPr>
    <w:rPr>
      <w:rFonts w:ascii="宋体" w:eastAsiaTheme="minorEastAsia"/>
      <w:sz w:val="21"/>
    </w:rPr>
  </w:style>
  <w:style w:type="paragraph" w:customStyle="1" w:styleId="afffffff1">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2">
    <w:name w:val="封面正文"/>
    <w:qFormat/>
    <w:pPr>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3">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EditorsNoteChar">
    <w:name w:val="Editor's Note Char"/>
    <w:link w:val="EditorsNote"/>
    <w:qFormat/>
    <w:rPr>
      <w:rFonts w:eastAsia="MS Mincho"/>
      <w:color w:val="FF0000"/>
      <w:lang w:val="en-GB" w:eastAsia="en-US"/>
    </w:rPr>
  </w:style>
  <w:style w:type="paragraph" w:customStyle="1" w:styleId="13">
    <w:name w:val="列出段落1"/>
    <w:basedOn w:val="a"/>
    <w:uiPriority w:val="34"/>
    <w:qFormat/>
    <w:pPr>
      <w:spacing w:after="0"/>
      <w:ind w:firstLine="420"/>
    </w:pPr>
    <w:rPr>
      <w:rFonts w:ascii="Calibri" w:eastAsia="宋体" w:hAnsi="Calibri" w:cs="宋体"/>
      <w:szCs w:val="21"/>
    </w:rPr>
  </w:style>
  <w:style w:type="paragraph" w:customStyle="1" w:styleId="CRCoverPage">
    <w:name w:val="CR Cover Page"/>
    <w:qFormat/>
    <w:pPr>
      <w:spacing w:after="120"/>
    </w:pPr>
    <w:rPr>
      <w:rFonts w:ascii="Arial" w:eastAsia="Times New Roman" w:hAnsi="Arial"/>
      <w:lang w:val="en-GB" w:eastAsia="en-US"/>
    </w:rPr>
  </w:style>
  <w:style w:type="paragraph" w:styleId="afffffff4">
    <w:name w:val="List Paragraph"/>
    <w:basedOn w:val="a"/>
    <w:uiPriority w:val="34"/>
    <w:qFormat/>
    <w:pPr>
      <w:spacing w:line="256" w:lineRule="auto"/>
      <w:ind w:left="720"/>
      <w:contextualSpacing/>
    </w:pPr>
    <w:rPr>
      <w:rFonts w:ascii="Times" w:eastAsia="宋体" w:hAnsi="Times"/>
      <w:sz w:val="22"/>
      <w:lang w:eastAsia="ja-JP"/>
    </w:rPr>
  </w:style>
  <w:style w:type="paragraph" w:customStyle="1" w:styleId="References">
    <w:name w:val="References"/>
    <w:basedOn w:val="a"/>
    <w:qFormat/>
    <w:pPr>
      <w:tabs>
        <w:tab w:val="left" w:pos="360"/>
      </w:tabs>
      <w:spacing w:beforeLines="50" w:before="50" w:afterLines="50" w:after="60"/>
      <w:ind w:left="360" w:hanging="360"/>
    </w:pPr>
    <w:rPr>
      <w:rFonts w:eastAsia="宋体"/>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Pages>
  <Words>2472</Words>
  <Characters>14094</Characters>
  <Application>Microsoft Office Word</Application>
  <DocSecurity>0</DocSecurity>
  <Lines>117</Lines>
  <Paragraphs>33</Paragraphs>
  <ScaleCrop>false</ScaleCrop>
  <Company>ZTE</Company>
  <LinksUpToDate>false</LinksUpToDate>
  <CharactersWithSpaces>16533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10</cp:revision>
  <cp:lastPrinted>2113-01-01T16:00:00Z</cp:lastPrinted>
  <dcterms:created xsi:type="dcterms:W3CDTF">2019-11-08T16:29:00Z</dcterms:created>
  <dcterms:modified xsi:type="dcterms:W3CDTF">2020-08-07T07:48:00Z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